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735" w:rsidRDefault="00B00735" w:rsidP="00BE14F5">
      <w:pPr>
        <w:spacing w:line="480" w:lineRule="auto"/>
        <w:jc w:val="both"/>
      </w:pPr>
      <w:bookmarkStart w:id="0" w:name="_Toc259120263"/>
      <w:r>
        <w:t>[unchanged]</w:t>
      </w:r>
    </w:p>
    <w:p w:rsidR="001339DA" w:rsidRDefault="001339DA" w:rsidP="00BE14F5">
      <w:pPr>
        <w:pStyle w:val="Heading2"/>
        <w:numPr>
          <w:ilvl w:val="2"/>
          <w:numId w:val="2"/>
        </w:numPr>
        <w:spacing w:line="480" w:lineRule="auto"/>
        <w:jc w:val="both"/>
      </w:pPr>
      <w:r>
        <w:t>Additions to GINI and high level features</w:t>
      </w:r>
      <w:bookmarkEnd w:id="0"/>
    </w:p>
    <w:p w:rsidR="00B00735" w:rsidRDefault="001339DA" w:rsidP="00BE14F5">
      <w:pPr>
        <w:spacing w:line="480" w:lineRule="auto"/>
        <w:jc w:val="both"/>
        <w:rPr>
          <w:sz w:val="24"/>
          <w:szCs w:val="24"/>
        </w:rPr>
      </w:pPr>
      <w:r w:rsidRPr="001339DA">
        <w:rPr>
          <w:sz w:val="24"/>
          <w:szCs w:val="24"/>
        </w:rPr>
        <w:t xml:space="preserve">As mentioned above, the main design focus was to create an external component to GINI for ease of future integration. </w:t>
      </w:r>
      <w:r w:rsidR="00B00735">
        <w:rPr>
          <w:sz w:val="24"/>
          <w:szCs w:val="24"/>
        </w:rPr>
        <w:t xml:space="preserve">In the code, all the alterations have been centralized in the file </w:t>
      </w:r>
      <w:r w:rsidR="00B00735" w:rsidRPr="00B00735">
        <w:rPr>
          <w:i/>
          <w:sz w:val="24"/>
          <w:szCs w:val="24"/>
        </w:rPr>
        <w:t>/frontend/UI/Configurationi.py</w:t>
      </w:r>
      <w:r w:rsidR="00B00735">
        <w:rPr>
          <w:sz w:val="24"/>
          <w:szCs w:val="24"/>
        </w:rPr>
        <w:t xml:space="preserve">. To make the changes active, simply download GINI, and overwrite the configuration file with the one provided with this project.  </w:t>
      </w:r>
    </w:p>
    <w:p w:rsidR="001339DA" w:rsidRPr="001339DA" w:rsidRDefault="00B00735" w:rsidP="00BE14F5">
      <w:pPr>
        <w:spacing w:line="480" w:lineRule="auto"/>
        <w:jc w:val="both"/>
        <w:rPr>
          <w:sz w:val="24"/>
          <w:szCs w:val="24"/>
        </w:rPr>
      </w:pPr>
      <w:r>
        <w:rPr>
          <w:sz w:val="24"/>
          <w:szCs w:val="24"/>
        </w:rPr>
        <w:t xml:space="preserve">Within GINI, </w:t>
      </w:r>
      <w:r w:rsidRPr="001339DA">
        <w:rPr>
          <w:sz w:val="24"/>
          <w:szCs w:val="24"/>
        </w:rPr>
        <w:t xml:space="preserve">there are two ways to access the cloud functions: either from the initial setup wizard, or under the ‘server’ tab in the Config/Options section. </w:t>
      </w:r>
      <w:r w:rsidR="001339DA" w:rsidRPr="001339DA">
        <w:rPr>
          <w:sz w:val="24"/>
          <w:szCs w:val="24"/>
        </w:rPr>
        <w:t xml:space="preserve">In either of those places, selecting the ‘connect to cloud’ button will generate a popup window which gives access to the cloud DataBase. </w:t>
      </w:r>
    </w:p>
    <w:p w:rsidR="001339DA" w:rsidRDefault="005A29D3" w:rsidP="00BE14F5">
      <w:pPr>
        <w:spacing w:line="480" w:lineRule="auto"/>
      </w:pPr>
      <w:r>
        <w:rPr>
          <w:noProof/>
        </w:rPr>
        <w:pict>
          <v:shapetype id="_x0000_t202" coordsize="21600,21600" o:spt="202" path="m,l,21600r21600,l21600,xe">
            <v:stroke joinstyle="miter"/>
            <v:path gradientshapeok="t" o:connecttype="rect"/>
          </v:shapetype>
          <v:shape id="_x0000_s1064" type="#_x0000_t202" style="position:absolute;margin-left:139.55pt;margin-top:188.35pt;width:213.75pt;height:15pt;z-index:251673600" wrapcoords="-76 0 -76 20965 21600 20965 21600 0 -76 0" stroked="f">
            <v:textbox style="mso-next-textbox:#_x0000_s1064" inset="0,0,0,0">
              <w:txbxContent>
                <w:p w:rsidR="001339DA" w:rsidRPr="00E108EB" w:rsidRDefault="001339DA" w:rsidP="001339DA">
                  <w:pPr>
                    <w:pStyle w:val="Caption"/>
                    <w:ind w:firstLine="720"/>
                    <w:rPr>
                      <w:noProof/>
                      <w:sz w:val="20"/>
                      <w:szCs w:val="20"/>
                    </w:rPr>
                  </w:pPr>
                  <w:r w:rsidRPr="00E108EB">
                    <w:rPr>
                      <w:sz w:val="20"/>
                      <w:szCs w:val="20"/>
                    </w:rPr>
                    <w:t xml:space="preserve">Figure </w:t>
                  </w:r>
                  <w:r>
                    <w:rPr>
                      <w:sz w:val="20"/>
                      <w:szCs w:val="20"/>
                    </w:rPr>
                    <w:t>3. GINI Wizard Modifications</w:t>
                  </w:r>
                </w:p>
              </w:txbxContent>
            </v:textbox>
          </v:shape>
        </w:pict>
      </w:r>
      <w:r w:rsidR="001339DA">
        <w:rPr>
          <w:noProof/>
        </w:rPr>
        <w:drawing>
          <wp:inline distT="0" distB="0" distL="0" distR="0">
            <wp:extent cx="3601870" cy="2381693"/>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46651" t="42189" r="30313" b="30708"/>
                    <a:stretch>
                      <a:fillRect/>
                    </a:stretch>
                  </pic:blipFill>
                  <pic:spPr bwMode="auto">
                    <a:xfrm>
                      <a:off x="0" y="0"/>
                      <a:ext cx="3618089" cy="2392417"/>
                    </a:xfrm>
                    <a:prstGeom prst="rect">
                      <a:avLst/>
                    </a:prstGeom>
                    <a:noFill/>
                    <a:ln w="9525">
                      <a:noFill/>
                      <a:miter lim="800000"/>
                      <a:headEnd/>
                      <a:tailEnd/>
                    </a:ln>
                  </pic:spPr>
                </pic:pic>
              </a:graphicData>
            </a:graphic>
          </wp:inline>
        </w:drawing>
      </w:r>
      <w:r w:rsidR="001339DA" w:rsidRPr="001339DA">
        <w:rPr>
          <w:noProof/>
        </w:rPr>
        <w:drawing>
          <wp:inline distT="0" distB="0" distL="0" distR="0">
            <wp:extent cx="2101532" cy="1552354"/>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49202" t="44326" r="31677" b="30552"/>
                    <a:stretch>
                      <a:fillRect/>
                    </a:stretch>
                  </pic:blipFill>
                  <pic:spPr bwMode="auto">
                    <a:xfrm>
                      <a:off x="0" y="0"/>
                      <a:ext cx="2115933" cy="1562992"/>
                    </a:xfrm>
                    <a:prstGeom prst="rect">
                      <a:avLst/>
                    </a:prstGeom>
                    <a:noFill/>
                    <a:ln w="9525">
                      <a:noFill/>
                      <a:miter lim="800000"/>
                      <a:headEnd/>
                      <a:tailEnd/>
                    </a:ln>
                  </pic:spPr>
                </pic:pic>
              </a:graphicData>
            </a:graphic>
          </wp:inline>
        </w:drawing>
      </w:r>
    </w:p>
    <w:p w:rsidR="001339DA" w:rsidRDefault="001339DA" w:rsidP="00BE14F5">
      <w:pPr>
        <w:spacing w:line="480" w:lineRule="auto"/>
        <w:jc w:val="both"/>
        <w:rPr>
          <w:sz w:val="24"/>
          <w:szCs w:val="24"/>
        </w:rPr>
      </w:pPr>
      <w:r w:rsidRPr="001339DA">
        <w:rPr>
          <w:sz w:val="24"/>
          <w:szCs w:val="24"/>
        </w:rPr>
        <w:t xml:space="preserve">Figure </w:t>
      </w:r>
      <w:r>
        <w:rPr>
          <w:sz w:val="24"/>
          <w:szCs w:val="24"/>
        </w:rPr>
        <w:t>4</w:t>
      </w:r>
      <w:r w:rsidRPr="001339DA">
        <w:rPr>
          <w:sz w:val="24"/>
          <w:szCs w:val="24"/>
        </w:rPr>
        <w:t>: Access to the cloud component is provided from the initial setup Wizard (left), or from the server tab in the Config/Option dialogue (center). Pressing either of the buttons will generate a popup window with access to the cloud workforce.</w:t>
      </w:r>
    </w:p>
    <w:p w:rsidR="001339DA" w:rsidRDefault="005A29D3" w:rsidP="00BE14F5">
      <w:pPr>
        <w:spacing w:line="480" w:lineRule="auto"/>
        <w:jc w:val="center"/>
        <w:rPr>
          <w:sz w:val="24"/>
          <w:szCs w:val="24"/>
        </w:rPr>
      </w:pPr>
      <w:r>
        <w:rPr>
          <w:noProof/>
          <w:sz w:val="24"/>
          <w:szCs w:val="24"/>
        </w:rPr>
        <w:lastRenderedPageBreak/>
        <w:pict>
          <v:shape id="_x0000_s1065" type="#_x0000_t202" style="position:absolute;left:0;text-align:left;margin-left:123.9pt;margin-top:206.8pt;width:213.75pt;height:15pt;z-index:251674624" wrapcoords="-76 0 -76 20965 21600 20965 21600 0 -76 0" stroked="f">
            <v:textbox style="mso-next-textbox:#_x0000_s1065" inset="0,0,0,0">
              <w:txbxContent>
                <w:p w:rsidR="001339DA" w:rsidRPr="00E108EB" w:rsidRDefault="001339DA" w:rsidP="001339DA">
                  <w:pPr>
                    <w:pStyle w:val="Caption"/>
                    <w:ind w:firstLine="720"/>
                    <w:rPr>
                      <w:noProof/>
                      <w:sz w:val="20"/>
                      <w:szCs w:val="20"/>
                    </w:rPr>
                  </w:pPr>
                  <w:r w:rsidRPr="00E108EB">
                    <w:rPr>
                      <w:sz w:val="20"/>
                      <w:szCs w:val="20"/>
                    </w:rPr>
                    <w:t xml:space="preserve">Figure </w:t>
                  </w:r>
                  <w:r>
                    <w:rPr>
                      <w:sz w:val="20"/>
                      <w:szCs w:val="20"/>
                    </w:rPr>
                    <w:t>5. GINI Options Modifications</w:t>
                  </w:r>
                </w:p>
              </w:txbxContent>
            </v:textbox>
          </v:shape>
        </w:pict>
      </w:r>
      <w:r w:rsidR="001339DA" w:rsidRPr="001339DA">
        <w:rPr>
          <w:noProof/>
          <w:sz w:val="24"/>
          <w:szCs w:val="24"/>
        </w:rPr>
        <w:drawing>
          <wp:inline distT="0" distB="0" distL="0" distR="0">
            <wp:extent cx="3662408" cy="2583712"/>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8602" t="42991" r="31376" b="31886"/>
                    <a:stretch>
                      <a:fillRect/>
                    </a:stretch>
                  </pic:blipFill>
                  <pic:spPr bwMode="auto">
                    <a:xfrm>
                      <a:off x="0" y="0"/>
                      <a:ext cx="3673080" cy="2591241"/>
                    </a:xfrm>
                    <a:prstGeom prst="rect">
                      <a:avLst/>
                    </a:prstGeom>
                    <a:noFill/>
                    <a:ln w="9525">
                      <a:noFill/>
                      <a:miter lim="800000"/>
                      <a:headEnd/>
                      <a:tailEnd/>
                    </a:ln>
                  </pic:spPr>
                </pic:pic>
              </a:graphicData>
            </a:graphic>
          </wp:inline>
        </w:drawing>
      </w:r>
    </w:p>
    <w:p w:rsidR="001339DA" w:rsidRPr="001339DA" w:rsidRDefault="001339DA" w:rsidP="00BE14F5">
      <w:pPr>
        <w:spacing w:line="480" w:lineRule="auto"/>
        <w:jc w:val="center"/>
        <w:rPr>
          <w:sz w:val="24"/>
          <w:szCs w:val="24"/>
        </w:rPr>
      </w:pPr>
    </w:p>
    <w:p w:rsidR="001339DA" w:rsidRPr="001339DA" w:rsidRDefault="001339DA" w:rsidP="00BE14F5">
      <w:pPr>
        <w:spacing w:line="480" w:lineRule="auto"/>
        <w:jc w:val="both"/>
        <w:rPr>
          <w:sz w:val="24"/>
          <w:szCs w:val="24"/>
        </w:rPr>
      </w:pPr>
      <w:r w:rsidRPr="001339DA">
        <w:rPr>
          <w:sz w:val="24"/>
          <w:szCs w:val="24"/>
        </w:rPr>
        <w:t>Once the FindCloudWorker object is built (the popup windows), the user has access to the cloud workers. The top text box gives the user the freedom of selecting where to connect to the Dispatcher. It was implemented as a text box during testing, and the default text value is embedded in the code and can easily be edited. In the deployment of the software, this textbox could easily be removed and replaced by a hidden static variable with the DNS name of the server hosting the Dispatcher. When the user presses the ‘search’ button, GINI sends a dummy variable to the Dispatcher and wait for a reply. In the test conducted, the reply came on average within 20ms, so the delay is negligible to the user.</w:t>
      </w:r>
    </w:p>
    <w:p w:rsidR="00B00735" w:rsidRDefault="001339DA" w:rsidP="007E33EF">
      <w:pPr>
        <w:spacing w:line="480" w:lineRule="auto"/>
        <w:jc w:val="both"/>
        <w:rPr>
          <w:sz w:val="24"/>
          <w:szCs w:val="24"/>
        </w:rPr>
      </w:pPr>
      <w:r w:rsidRPr="001339DA">
        <w:rPr>
          <w:sz w:val="24"/>
          <w:szCs w:val="24"/>
        </w:rPr>
        <w:t xml:space="preserve">If the variable returned is the same as the dummy variable sent, an error condition is recorded. Otherwise, the DNS name returned is added to the ‘server’ option field and selected as a default server. In the current implementation, the user still has the option to use this server or choose another one. In the final deployment, if the GINI backend is to run only on ‘hidden’ cloud workers, this whole operation could be migrated behind the scene and performed </w:t>
      </w:r>
      <w:r w:rsidRPr="001339DA">
        <w:rPr>
          <w:sz w:val="24"/>
          <w:szCs w:val="24"/>
        </w:rPr>
        <w:lastRenderedPageBreak/>
        <w:t>automatically whenever a client connects to a server. This would greatly reduce the cognitive load on the end user with regards to understanding how GINI actually works, and enable him/her to focus primarily on the simulation being performed.</w:t>
      </w:r>
      <w:r w:rsidR="00B00735">
        <w:rPr>
          <w:sz w:val="24"/>
          <w:szCs w:val="24"/>
        </w:rPr>
        <w:t xml:space="preserve"> Before launching the server, the user will still have to enter his username to access the server. The testing has been performed using standard McGill IDs to successfully login to McGIll’s Linux machines.</w:t>
      </w:r>
    </w:p>
    <w:p w:rsidR="00B00735" w:rsidRDefault="00B00735" w:rsidP="007E33EF">
      <w:pPr>
        <w:spacing w:line="480" w:lineRule="auto"/>
        <w:jc w:val="both"/>
        <w:rPr>
          <w:sz w:val="24"/>
          <w:szCs w:val="24"/>
        </w:rPr>
      </w:pPr>
      <w:r>
        <w:rPr>
          <w:sz w:val="24"/>
          <w:szCs w:val="24"/>
        </w:rPr>
        <w:t>Overall, the greatest advantage of this upgrade is that the user no longer needs to have any knowledge of the location and availability of Linux machines to run gServer. A user can simply fetch up-to-date information on the workforce available and the proceed with launching GINI’s backend.</w:t>
      </w:r>
    </w:p>
    <w:p w:rsidR="00B00735" w:rsidRPr="007E33EF" w:rsidRDefault="00B00735" w:rsidP="007E33EF">
      <w:pPr>
        <w:spacing w:line="480" w:lineRule="auto"/>
        <w:jc w:val="both"/>
        <w:rPr>
          <w:sz w:val="24"/>
          <w:szCs w:val="24"/>
        </w:rPr>
      </w:pPr>
    </w:p>
    <w:p w:rsidR="001F39C7" w:rsidRPr="00FA2E63" w:rsidRDefault="001F39C7" w:rsidP="00BE14F5">
      <w:pPr>
        <w:pStyle w:val="Heading2"/>
        <w:numPr>
          <w:ilvl w:val="1"/>
          <w:numId w:val="2"/>
        </w:numPr>
        <w:spacing w:line="480" w:lineRule="auto"/>
      </w:pPr>
      <w:bookmarkStart w:id="1" w:name="_Toc259120264"/>
      <w:r>
        <w:t>Dispatcher</w:t>
      </w:r>
      <w:bookmarkEnd w:id="1"/>
    </w:p>
    <w:p w:rsidR="00C00476" w:rsidRPr="00BC74DA" w:rsidRDefault="00B00735" w:rsidP="00BE14F5">
      <w:pPr>
        <w:spacing w:line="480" w:lineRule="auto"/>
        <w:rPr>
          <w:sz w:val="28"/>
          <w:szCs w:val="28"/>
        </w:rPr>
      </w:pPr>
      <w:r>
        <w:rPr>
          <w:sz w:val="28"/>
          <w:szCs w:val="28"/>
        </w:rPr>
        <w:t>[unchanged]</w:t>
      </w:r>
    </w:p>
    <w:sectPr w:rsidR="00C00476" w:rsidRPr="00BC74DA" w:rsidSect="0016327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87C2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8C57E3B"/>
    <w:multiLevelType w:val="hybridMultilevel"/>
    <w:tmpl w:val="F50C790A"/>
    <w:lvl w:ilvl="0" w:tplc="17686EEA">
      <w:start w:val="1"/>
      <w:numFmt w:val="decimal"/>
      <w:lvlText w:val="%1."/>
      <w:lvlJc w:val="left"/>
      <w:pPr>
        <w:tabs>
          <w:tab w:val="num" w:pos="720"/>
        </w:tabs>
        <w:ind w:left="720" w:hanging="360"/>
      </w:pPr>
    </w:lvl>
    <w:lvl w:ilvl="1" w:tplc="81F86478" w:tentative="1">
      <w:start w:val="1"/>
      <w:numFmt w:val="decimal"/>
      <w:lvlText w:val="%2."/>
      <w:lvlJc w:val="left"/>
      <w:pPr>
        <w:tabs>
          <w:tab w:val="num" w:pos="1440"/>
        </w:tabs>
        <w:ind w:left="1440" w:hanging="360"/>
      </w:pPr>
    </w:lvl>
    <w:lvl w:ilvl="2" w:tplc="D6C00D2A" w:tentative="1">
      <w:start w:val="1"/>
      <w:numFmt w:val="decimal"/>
      <w:lvlText w:val="%3."/>
      <w:lvlJc w:val="left"/>
      <w:pPr>
        <w:tabs>
          <w:tab w:val="num" w:pos="2160"/>
        </w:tabs>
        <w:ind w:left="2160" w:hanging="360"/>
      </w:pPr>
    </w:lvl>
    <w:lvl w:ilvl="3" w:tplc="639271A8" w:tentative="1">
      <w:start w:val="1"/>
      <w:numFmt w:val="decimal"/>
      <w:lvlText w:val="%4."/>
      <w:lvlJc w:val="left"/>
      <w:pPr>
        <w:tabs>
          <w:tab w:val="num" w:pos="2880"/>
        </w:tabs>
        <w:ind w:left="2880" w:hanging="360"/>
      </w:pPr>
    </w:lvl>
    <w:lvl w:ilvl="4" w:tplc="CFF0A1D2" w:tentative="1">
      <w:start w:val="1"/>
      <w:numFmt w:val="decimal"/>
      <w:lvlText w:val="%5."/>
      <w:lvlJc w:val="left"/>
      <w:pPr>
        <w:tabs>
          <w:tab w:val="num" w:pos="3600"/>
        </w:tabs>
        <w:ind w:left="3600" w:hanging="360"/>
      </w:pPr>
    </w:lvl>
    <w:lvl w:ilvl="5" w:tplc="9F14573C" w:tentative="1">
      <w:start w:val="1"/>
      <w:numFmt w:val="decimal"/>
      <w:lvlText w:val="%6."/>
      <w:lvlJc w:val="left"/>
      <w:pPr>
        <w:tabs>
          <w:tab w:val="num" w:pos="4320"/>
        </w:tabs>
        <w:ind w:left="4320" w:hanging="360"/>
      </w:pPr>
    </w:lvl>
    <w:lvl w:ilvl="6" w:tplc="17046C18" w:tentative="1">
      <w:start w:val="1"/>
      <w:numFmt w:val="decimal"/>
      <w:lvlText w:val="%7."/>
      <w:lvlJc w:val="left"/>
      <w:pPr>
        <w:tabs>
          <w:tab w:val="num" w:pos="5040"/>
        </w:tabs>
        <w:ind w:left="5040" w:hanging="360"/>
      </w:pPr>
    </w:lvl>
    <w:lvl w:ilvl="7" w:tplc="68DACF7C" w:tentative="1">
      <w:start w:val="1"/>
      <w:numFmt w:val="decimal"/>
      <w:lvlText w:val="%8."/>
      <w:lvlJc w:val="left"/>
      <w:pPr>
        <w:tabs>
          <w:tab w:val="num" w:pos="5760"/>
        </w:tabs>
        <w:ind w:left="5760" w:hanging="360"/>
      </w:pPr>
    </w:lvl>
    <w:lvl w:ilvl="8" w:tplc="5838E2BA" w:tentative="1">
      <w:start w:val="1"/>
      <w:numFmt w:val="decimal"/>
      <w:lvlText w:val="%9."/>
      <w:lvlJc w:val="left"/>
      <w:pPr>
        <w:tabs>
          <w:tab w:val="num" w:pos="6480"/>
        </w:tabs>
        <w:ind w:left="6480" w:hanging="360"/>
      </w:pPr>
    </w:lvl>
  </w:abstractNum>
  <w:abstractNum w:abstractNumId="2">
    <w:nsid w:val="1AEC10AD"/>
    <w:multiLevelType w:val="hybridMultilevel"/>
    <w:tmpl w:val="05BEA8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CD71A5D"/>
    <w:multiLevelType w:val="hybridMultilevel"/>
    <w:tmpl w:val="46B2A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BC10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0BE1D78"/>
    <w:multiLevelType w:val="hybridMultilevel"/>
    <w:tmpl w:val="8688A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8C0EBA"/>
    <w:multiLevelType w:val="hybridMultilevel"/>
    <w:tmpl w:val="53BE1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2C17D4"/>
    <w:multiLevelType w:val="multilevel"/>
    <w:tmpl w:val="0409001F"/>
    <w:lvl w:ilvl="0">
      <w:start w:val="1"/>
      <w:numFmt w:val="decimal"/>
      <w:lvlText w:val="%1."/>
      <w:lvlJc w:val="left"/>
      <w:pPr>
        <w:ind w:left="360" w:hanging="360"/>
      </w:pPr>
    </w:lvl>
    <w:lvl w:ilvl="1">
      <w:start w:val="1"/>
      <w:numFmt w:val="decimal"/>
      <w:lvlText w:val="%1.%2."/>
      <w:lvlJc w:val="left"/>
      <w:pPr>
        <w:ind w:left="12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7"/>
  </w:num>
  <w:num w:numId="3">
    <w:abstractNumId w:val="1"/>
  </w:num>
  <w:num w:numId="4">
    <w:abstractNumId w:val="5"/>
  </w:num>
  <w:num w:numId="5">
    <w:abstractNumId w:val="2"/>
  </w:num>
  <w:num w:numId="6">
    <w:abstractNumId w:val="0"/>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3"/>
  <w:defaultTabStop w:val="720"/>
  <w:characterSpacingControl w:val="doNotCompress"/>
  <w:compat/>
  <w:rsids>
    <w:rsidRoot w:val="001F39C7"/>
    <w:rsid w:val="00012CC6"/>
    <w:rsid w:val="0005481B"/>
    <w:rsid w:val="000A25C3"/>
    <w:rsid w:val="000B4FAA"/>
    <w:rsid w:val="000F0B3F"/>
    <w:rsid w:val="00123A05"/>
    <w:rsid w:val="001339DA"/>
    <w:rsid w:val="00151395"/>
    <w:rsid w:val="00163276"/>
    <w:rsid w:val="001823B4"/>
    <w:rsid w:val="001E3A55"/>
    <w:rsid w:val="001F1691"/>
    <w:rsid w:val="001F39C7"/>
    <w:rsid w:val="00233A0B"/>
    <w:rsid w:val="002367A2"/>
    <w:rsid w:val="00260C50"/>
    <w:rsid w:val="002B4C9A"/>
    <w:rsid w:val="002E216D"/>
    <w:rsid w:val="002F431B"/>
    <w:rsid w:val="003109AB"/>
    <w:rsid w:val="00315942"/>
    <w:rsid w:val="00336E93"/>
    <w:rsid w:val="0035585B"/>
    <w:rsid w:val="00374DC3"/>
    <w:rsid w:val="00385311"/>
    <w:rsid w:val="003D0789"/>
    <w:rsid w:val="003F357F"/>
    <w:rsid w:val="004162F1"/>
    <w:rsid w:val="0044467E"/>
    <w:rsid w:val="004630AF"/>
    <w:rsid w:val="00464526"/>
    <w:rsid w:val="00485C40"/>
    <w:rsid w:val="004A71F0"/>
    <w:rsid w:val="004B7099"/>
    <w:rsid w:val="004F4548"/>
    <w:rsid w:val="005002A0"/>
    <w:rsid w:val="00523AD0"/>
    <w:rsid w:val="00554F2E"/>
    <w:rsid w:val="005720C0"/>
    <w:rsid w:val="005843C2"/>
    <w:rsid w:val="005A29D3"/>
    <w:rsid w:val="005D7BFC"/>
    <w:rsid w:val="0060475F"/>
    <w:rsid w:val="00607224"/>
    <w:rsid w:val="00681CFC"/>
    <w:rsid w:val="0068238C"/>
    <w:rsid w:val="006D1C57"/>
    <w:rsid w:val="00745EA6"/>
    <w:rsid w:val="007479CC"/>
    <w:rsid w:val="00765A6A"/>
    <w:rsid w:val="00781D2D"/>
    <w:rsid w:val="0079236A"/>
    <w:rsid w:val="007C6414"/>
    <w:rsid w:val="007E33EF"/>
    <w:rsid w:val="007F421C"/>
    <w:rsid w:val="00825B13"/>
    <w:rsid w:val="0086165B"/>
    <w:rsid w:val="00897D61"/>
    <w:rsid w:val="008B2D6A"/>
    <w:rsid w:val="009816FE"/>
    <w:rsid w:val="009C0B6A"/>
    <w:rsid w:val="009C6A81"/>
    <w:rsid w:val="00A03487"/>
    <w:rsid w:val="00A04BF2"/>
    <w:rsid w:val="00A11CA8"/>
    <w:rsid w:val="00A3418B"/>
    <w:rsid w:val="00A667A4"/>
    <w:rsid w:val="00AA0A21"/>
    <w:rsid w:val="00AB0F98"/>
    <w:rsid w:val="00AF1D7A"/>
    <w:rsid w:val="00AF442D"/>
    <w:rsid w:val="00B00735"/>
    <w:rsid w:val="00B07872"/>
    <w:rsid w:val="00B319D2"/>
    <w:rsid w:val="00B51E11"/>
    <w:rsid w:val="00B61446"/>
    <w:rsid w:val="00B674C9"/>
    <w:rsid w:val="00BC74DA"/>
    <w:rsid w:val="00BE14F5"/>
    <w:rsid w:val="00C00476"/>
    <w:rsid w:val="00C03189"/>
    <w:rsid w:val="00C05A38"/>
    <w:rsid w:val="00C36090"/>
    <w:rsid w:val="00C41F66"/>
    <w:rsid w:val="00C55175"/>
    <w:rsid w:val="00CA4463"/>
    <w:rsid w:val="00CE3784"/>
    <w:rsid w:val="00D20CE1"/>
    <w:rsid w:val="00D349A4"/>
    <w:rsid w:val="00D54ACC"/>
    <w:rsid w:val="00D641F2"/>
    <w:rsid w:val="00D73A35"/>
    <w:rsid w:val="00D8473A"/>
    <w:rsid w:val="00DC446B"/>
    <w:rsid w:val="00DD1CD8"/>
    <w:rsid w:val="00E07798"/>
    <w:rsid w:val="00E44CBF"/>
    <w:rsid w:val="00E55287"/>
    <w:rsid w:val="00E70C10"/>
    <w:rsid w:val="00E75E8C"/>
    <w:rsid w:val="00EA3702"/>
    <w:rsid w:val="00EC56F9"/>
    <w:rsid w:val="00EE3240"/>
    <w:rsid w:val="00F24EEA"/>
    <w:rsid w:val="00F70F0F"/>
    <w:rsid w:val="00F93E8E"/>
    <w:rsid w:val="00FA1728"/>
    <w:rsid w:val="00FA6898"/>
    <w:rsid w:val="00FB74A0"/>
    <w:rsid w:val="00FE61A1"/>
    <w:rsid w:val="00FF3A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39C7"/>
  </w:style>
  <w:style w:type="paragraph" w:styleId="Heading1">
    <w:name w:val="heading 1"/>
    <w:basedOn w:val="Normal"/>
    <w:next w:val="Normal"/>
    <w:link w:val="Heading1Char"/>
    <w:uiPriority w:val="9"/>
    <w:qFormat/>
    <w:rsid w:val="001F39C7"/>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1F39C7"/>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1F39C7"/>
    <w:pPr>
      <w:keepNext/>
      <w:keepLines/>
      <w:spacing w:before="200" w:after="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39C7"/>
    <w:rPr>
      <w:rFonts w:asciiTheme="majorHAnsi" w:eastAsiaTheme="majorEastAsia" w:hAnsiTheme="majorHAnsi" w:cstheme="majorBidi"/>
      <w:b/>
      <w:bCs/>
      <w:color w:val="0B5294" w:themeColor="accent1" w:themeShade="BF"/>
      <w:sz w:val="28"/>
      <w:szCs w:val="28"/>
    </w:rPr>
  </w:style>
  <w:style w:type="character" w:customStyle="1" w:styleId="Heading3Char">
    <w:name w:val="Heading 3 Char"/>
    <w:basedOn w:val="DefaultParagraphFont"/>
    <w:link w:val="Heading3"/>
    <w:uiPriority w:val="9"/>
    <w:rsid w:val="001F39C7"/>
    <w:rPr>
      <w:rFonts w:asciiTheme="majorHAnsi" w:eastAsiaTheme="majorEastAsia" w:hAnsiTheme="majorHAnsi" w:cstheme="majorBidi"/>
      <w:b/>
      <w:bCs/>
      <w:color w:val="0F6FC6" w:themeColor="accent1"/>
    </w:rPr>
  </w:style>
  <w:style w:type="paragraph" w:styleId="Caption">
    <w:name w:val="caption"/>
    <w:basedOn w:val="Normal"/>
    <w:next w:val="Normal"/>
    <w:uiPriority w:val="35"/>
    <w:unhideWhenUsed/>
    <w:qFormat/>
    <w:rsid w:val="001F39C7"/>
    <w:pPr>
      <w:spacing w:line="240" w:lineRule="auto"/>
    </w:pPr>
    <w:rPr>
      <w:b/>
      <w:bCs/>
      <w:color w:val="0F6FC6" w:themeColor="accent1"/>
      <w:sz w:val="18"/>
      <w:szCs w:val="18"/>
    </w:rPr>
  </w:style>
  <w:style w:type="paragraph" w:styleId="NoSpacing">
    <w:name w:val="No Spacing"/>
    <w:link w:val="NoSpacingChar"/>
    <w:uiPriority w:val="1"/>
    <w:qFormat/>
    <w:rsid w:val="001F39C7"/>
    <w:pPr>
      <w:spacing w:after="0" w:line="240" w:lineRule="auto"/>
    </w:pPr>
  </w:style>
  <w:style w:type="paragraph" w:styleId="TOCHeading">
    <w:name w:val="TOC Heading"/>
    <w:basedOn w:val="Heading1"/>
    <w:next w:val="Normal"/>
    <w:uiPriority w:val="39"/>
    <w:semiHidden/>
    <w:unhideWhenUsed/>
    <w:qFormat/>
    <w:rsid w:val="001F39C7"/>
    <w:pPr>
      <w:outlineLvl w:val="9"/>
    </w:pPr>
  </w:style>
  <w:style w:type="paragraph" w:styleId="TOC1">
    <w:name w:val="toc 1"/>
    <w:basedOn w:val="Normal"/>
    <w:next w:val="Normal"/>
    <w:autoRedefine/>
    <w:uiPriority w:val="39"/>
    <w:unhideWhenUsed/>
    <w:rsid w:val="001F39C7"/>
    <w:pPr>
      <w:spacing w:after="100"/>
    </w:pPr>
  </w:style>
  <w:style w:type="paragraph" w:styleId="TOC2">
    <w:name w:val="toc 2"/>
    <w:basedOn w:val="Normal"/>
    <w:next w:val="Normal"/>
    <w:autoRedefine/>
    <w:uiPriority w:val="39"/>
    <w:unhideWhenUsed/>
    <w:rsid w:val="001F39C7"/>
    <w:pPr>
      <w:spacing w:after="100"/>
      <w:ind w:left="220"/>
    </w:pPr>
  </w:style>
  <w:style w:type="character" w:styleId="Hyperlink">
    <w:name w:val="Hyperlink"/>
    <w:basedOn w:val="DefaultParagraphFont"/>
    <w:uiPriority w:val="99"/>
    <w:unhideWhenUsed/>
    <w:rsid w:val="001F39C7"/>
    <w:rPr>
      <w:color w:val="E2D700" w:themeColor="hyperlink"/>
      <w:u w:val="single"/>
    </w:rPr>
  </w:style>
  <w:style w:type="character" w:customStyle="1" w:styleId="NoSpacingChar">
    <w:name w:val="No Spacing Char"/>
    <w:basedOn w:val="DefaultParagraphFont"/>
    <w:link w:val="NoSpacing"/>
    <w:uiPriority w:val="1"/>
    <w:rsid w:val="001F39C7"/>
  </w:style>
  <w:style w:type="paragraph" w:styleId="BalloonText">
    <w:name w:val="Balloon Text"/>
    <w:basedOn w:val="Normal"/>
    <w:link w:val="BalloonTextChar"/>
    <w:uiPriority w:val="99"/>
    <w:semiHidden/>
    <w:unhideWhenUsed/>
    <w:rsid w:val="001F39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9C7"/>
    <w:rPr>
      <w:rFonts w:ascii="Tahoma" w:hAnsi="Tahoma" w:cs="Tahoma"/>
      <w:sz w:val="16"/>
      <w:szCs w:val="16"/>
    </w:rPr>
  </w:style>
  <w:style w:type="character" w:customStyle="1" w:styleId="Heading2Char">
    <w:name w:val="Heading 2 Char"/>
    <w:basedOn w:val="DefaultParagraphFont"/>
    <w:link w:val="Heading2"/>
    <w:uiPriority w:val="9"/>
    <w:rsid w:val="001F39C7"/>
    <w:rPr>
      <w:rFonts w:asciiTheme="majorHAnsi" w:eastAsiaTheme="majorEastAsia" w:hAnsiTheme="majorHAnsi" w:cstheme="majorBidi"/>
      <w:b/>
      <w:bCs/>
      <w:color w:val="0F6FC6" w:themeColor="accent1"/>
      <w:sz w:val="26"/>
      <w:szCs w:val="26"/>
    </w:rPr>
  </w:style>
  <w:style w:type="paragraph" w:styleId="ListParagraph">
    <w:name w:val="List Paragraph"/>
    <w:basedOn w:val="Normal"/>
    <w:uiPriority w:val="34"/>
    <w:qFormat/>
    <w:rsid w:val="001F39C7"/>
    <w:pPr>
      <w:ind w:left="720"/>
      <w:contextualSpacing/>
    </w:pPr>
  </w:style>
  <w:style w:type="table" w:customStyle="1" w:styleId="LightShading1">
    <w:name w:val="Light Shading1"/>
    <w:basedOn w:val="TableNormal"/>
    <w:uiPriority w:val="60"/>
    <w:rsid w:val="00BC74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Accent11">
    <w:name w:val="Medium Shading 1 - Accent 11"/>
    <w:basedOn w:val="TableNormal"/>
    <w:uiPriority w:val="63"/>
    <w:rsid w:val="00BC74DA"/>
    <w:pPr>
      <w:spacing w:after="0" w:line="240" w:lineRule="auto"/>
    </w:pPr>
    <w:tblPr>
      <w:tblStyleRowBandSize w:val="1"/>
      <w:tblStyleColBandSize w:val="1"/>
      <w:tblInd w:w="0" w:type="dxa"/>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BC74D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6F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6FC6" w:themeFill="accent1"/>
      </w:tcPr>
    </w:tblStylePr>
    <w:tblStylePr w:type="lastCol">
      <w:rPr>
        <w:b/>
        <w:bCs/>
        <w:color w:val="FFFFFF" w:themeColor="background1"/>
      </w:rPr>
      <w:tblPr/>
      <w:tcPr>
        <w:tcBorders>
          <w:left w:val="nil"/>
          <w:right w:val="nil"/>
          <w:insideH w:val="nil"/>
          <w:insideV w:val="nil"/>
        </w:tcBorders>
        <w:shd w:val="clear" w:color="auto" w:fill="0F6F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3">
    <w:name w:val="toc 3"/>
    <w:basedOn w:val="Normal"/>
    <w:next w:val="Normal"/>
    <w:autoRedefine/>
    <w:uiPriority w:val="39"/>
    <w:unhideWhenUsed/>
    <w:rsid w:val="00BE14F5"/>
    <w:pPr>
      <w:spacing w:after="100"/>
      <w:ind w:left="4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10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Pages>
  <Words>430</Words>
  <Characters>2455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GINI on a Cloud</vt:lpstr>
    </vt:vector>
  </TitlesOfParts>
  <Company>McGill University</Company>
  <LinksUpToDate>false</LinksUpToDate>
  <CharactersWithSpaces>2880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GINI on a Cloud</dc:title>
  <dc:subject>Cloud computing for internet emulator</dc:subject>
  <dc:creator>David El Achkar</dc:creator>
  <cp:lastModifiedBy>Zeben</cp:lastModifiedBy>
  <cp:revision>10</cp:revision>
  <dcterms:created xsi:type="dcterms:W3CDTF">2010-04-15T21:51:00Z</dcterms:created>
  <dcterms:modified xsi:type="dcterms:W3CDTF">2010-04-15T23:23:00Z</dcterms:modified>
</cp:coreProperties>
</file>