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4960487"/>
        <w:docPartObj>
          <w:docPartGallery w:val="Cover Pages"/>
          <w:docPartUnique/>
        </w:docPartObj>
      </w:sdtPr>
      <w:sdtContent>
        <w:p w:rsidR="00F51DD7" w:rsidRDefault="005B697A">
          <w:r>
            <w:rPr>
              <w:noProof/>
            </w:rPr>
            <w:pict>
              <v:group id="_x0000_s1047" style="position:absolute;margin-left:6838.3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48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9" style="position:absolute;left:7755;width:4505;height:15840;mso-height-percent:1000;mso-position-vertical:top;mso-position-vertical-relative:page;mso-height-percent:1000" fillcolor="#1b587c [3206]" stroked="f" strokecolor="#d8d8d8 [2732]">
                    <v:fill color2="#bfbfbf [2412]" rotate="t"/>
                  </v:rect>
                  <v:rect id="_x0000_s1050" style="position:absolute;left:7560;top:8;width:195;height:15825;mso-height-percent:1000;mso-position-vertical-relative:page;mso-height-percent:1000;mso-width-relative:margin;v-text-anchor:middle" fillcolor="#1b587c [3206]" stroked="f" strokecolor="white [3212]" strokeweight="1pt">
                    <v:fill r:id="rId10" o:title="Light vertical" opacity="52429f" o:opacity2="52429f" type="pattern"/>
                    <v:shadow color="#d8d8d8 [2732]" offset="3pt,3pt" offset2="2pt,2pt"/>
                  </v:rect>
                </v:group>
                <v:rect id="_x0000_s1051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1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alias w:val="Year"/>
                          <w:id w:val="1449604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72C01" w:rsidRPr="00A8406A" w:rsidRDefault="00172C01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t>ECSE 421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52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2" inset="28.8pt,14.4pt,14.4pt,14.4pt">
                    <w:txbxContent>
                      <w:p w:rsidR="00172C01" w:rsidRPr="00A8406A" w:rsidRDefault="00172C01" w:rsidP="00F51DD7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406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Group #5</w:t>
                        </w:r>
                      </w:p>
                      <w:p w:rsidR="00172C01" w:rsidRPr="00F51DD7" w:rsidRDefault="00172C01" w:rsidP="00F51DD7">
                        <w:pPr>
                          <w:rPr>
                            <w:color w:val="FFFFFF" w:themeColor="background1"/>
                          </w:rPr>
                        </w:pPr>
                        <w:r w:rsidRPr="00F51DD7">
                          <w:rPr>
                            <w:color w:val="FFFFFF" w:themeColor="background1"/>
                          </w:rPr>
                          <w:t xml:space="preserve">Max Chau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</w:r>
                        <w:r>
                          <w:rPr>
                            <w:color w:val="FFFFFF" w:themeColor="background1"/>
                          </w:rPr>
                          <w:t>Ching-Wai</w:t>
                        </w:r>
                        <w:r w:rsidRPr="00F51DD7">
                          <w:rPr>
                            <w:color w:val="FFFFFF" w:themeColor="background1"/>
                          </w:rPr>
                          <w:t xml:space="preserve"> Chee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Simon Foucher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Jean-Mikael Lassonde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Winston Lin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Mathieu Perr</w:t>
                        </w:r>
                        <w:r>
                          <w:rPr>
                            <w:color w:val="FFFFFF" w:themeColor="background1"/>
                          </w:rPr>
                          <w:t>e</w:t>
                        </w:r>
                        <w:r w:rsidRPr="00F51DD7">
                          <w:rPr>
                            <w:color w:val="FFFFFF" w:themeColor="background1"/>
                          </w:rPr>
                          <w:t xml:space="preserve">ault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Logan Smyth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Philip Tang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Danny Wu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F51DD7">
            <w:softHyphen/>
          </w:r>
        </w:p>
        <w:p w:rsidR="00F51DD7" w:rsidRDefault="005B697A">
          <w:r>
            <w:rPr>
              <w:noProof/>
            </w:rPr>
            <w:pict>
              <v:rect id="_x0000_s1053" style="position:absolute;margin-left:0;margin-top:198.55pt;width:563.5pt;height:82.7pt;z-index:251662336;mso-top-percent:250;mso-position-horizontal:left;mso-position-horizontal-relative:page;mso-position-vertical-relative:page;mso-top-percent:250;v-text-anchor:middle" o:allowincell="f" fillcolor="#f07f09 [3204]" strokecolor="white [3212]" strokeweight="1pt">
                <v:fill color2="#b35e06 [2404]"/>
                <v:shadow color="#d8d8d8 [2732]" offset="3pt,3pt" offset2="2pt,2pt"/>
                <v:textbox style="mso-next-textbox:#_x0000_s1053" inset="14.4pt,,14.4pt">
                  <w:txbxContent>
                    <w:sdt>
                      <w:sdtPr>
                        <w:rPr>
                          <w:rFonts w:asciiTheme="majorHAnsi" w:hAnsiTheme="majorHAnsi"/>
                          <w:sz w:val="64"/>
                        </w:rPr>
                        <w:alias w:val="Title"/>
                        <w:id w:val="14496049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172C01" w:rsidRDefault="00172C01" w:rsidP="00F51DD7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  <w:rPrChange w:id="0" w:author="Mathieu" w:date="2010-03-09T16:53:00Z">
                                <w:rPr/>
                              </w:rPrChange>
                            </w:rPr>
                          </w:pPr>
                          <w:r>
                            <w:rPr>
                              <w:rFonts w:asciiTheme="majorHAnsi" w:hAnsiTheme="majorHAnsi"/>
                              <w:sz w:val="64"/>
                            </w:rPr>
                            <w:t>System Design Document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F51DD7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029032" cy="3706967"/>
                <wp:effectExtent l="19050" t="19050" r="1921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03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F51DD7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960523"/>
        <w:docPartObj>
          <w:docPartGallery w:val="Table of Contents"/>
          <w:docPartUnique/>
        </w:docPartObj>
      </w:sdtPr>
      <w:sdtEndPr/>
      <w:sdtContent>
        <w:p w:rsidR="00F51DD7" w:rsidRDefault="00F51DD7">
          <w:pPr>
            <w:pStyle w:val="TOCHeading"/>
          </w:pPr>
          <w:r>
            <w:t>Table of Contents</w:t>
          </w:r>
        </w:p>
      </w:sdtContent>
    </w:sdt>
    <w:p w:rsidR="00471693" w:rsidRDefault="00471693">
      <w:pPr>
        <w:rPr>
          <w:rFonts w:ascii="Verdana" w:eastAsia="Times New Roman" w:hAnsi="Verdana" w:cs="Times New Roman"/>
          <w:b/>
          <w:bCs/>
          <w:color w:val="B35E06" w:themeColor="accent1" w:themeShade="BF"/>
          <w:sz w:val="28"/>
          <w:szCs w:val="28"/>
        </w:rPr>
      </w:pPr>
      <w:bookmarkStart w:id="1" w:name="_Toc255921577"/>
      <w:r>
        <w:rPr>
          <w:rFonts w:ascii="Verdana" w:eastAsia="Times New Roman" w:hAnsi="Verdana" w:cs="Times New Roman"/>
        </w:rPr>
        <w:br w:type="page"/>
      </w:r>
    </w:p>
    <w:p w:rsidR="00F51DD7" w:rsidRDefault="008C430F" w:rsidP="00B857E0">
      <w:pPr>
        <w:pStyle w:val="Heading1"/>
        <w:spacing w:line="240" w:lineRule="auto"/>
        <w:rPr>
          <w:rFonts w:ascii="Verdana" w:eastAsia="Times New Roman" w:hAnsi="Verdana" w:cs="Times New Roman"/>
          <w:bCs w:val="0"/>
        </w:rPr>
      </w:pPr>
      <w:r>
        <w:rPr>
          <w:rFonts w:ascii="Verdana" w:eastAsia="Times New Roman" w:hAnsi="Verdana" w:cs="Times New Roman"/>
        </w:rPr>
        <w:lastRenderedPageBreak/>
        <w:t>3.</w:t>
      </w:r>
      <w:r w:rsidR="005510EC" w:rsidRPr="00461F41">
        <w:rPr>
          <w:rFonts w:ascii="Verdana" w:eastAsia="Times New Roman" w:hAnsi="Verdana" w:cs="Times New Roman"/>
          <w:bCs w:val="0"/>
        </w:rPr>
        <w:t xml:space="preserve"> </w:t>
      </w:r>
      <w:r w:rsidR="00523DB3">
        <w:rPr>
          <w:rFonts w:ascii="Verdana" w:eastAsia="Times New Roman" w:hAnsi="Verdana" w:cs="Times New Roman"/>
          <w:bCs w:val="0"/>
        </w:rPr>
        <w:t>Requirements Traceability</w:t>
      </w:r>
      <w:r w:rsidR="00015E7E" w:rsidRPr="00461F41">
        <w:rPr>
          <w:rFonts w:ascii="Verdana" w:eastAsia="Times New Roman" w:hAnsi="Verdana" w:cs="Times New Roman"/>
          <w:bCs w:val="0"/>
        </w:rPr>
        <w:t xml:space="preserve"> Matrix</w:t>
      </w:r>
      <w:bookmarkEnd w:id="1"/>
    </w:p>
    <w:p w:rsidR="00523DB3" w:rsidRDefault="00523DB3" w:rsidP="00523DB3"/>
    <w:tbl>
      <w:tblPr>
        <w:tblStyle w:val="LightGrid1"/>
        <w:tblW w:w="0" w:type="auto"/>
        <w:tblLook w:val="04A0"/>
      </w:tblPr>
      <w:tblGrid>
        <w:gridCol w:w="558"/>
        <w:gridCol w:w="3600"/>
        <w:gridCol w:w="5418"/>
      </w:tblGrid>
      <w:tr w:rsidR="00523DB3" w:rsidTr="00B40576">
        <w:trPr>
          <w:cnfStyle w:val="100000000000"/>
        </w:trPr>
        <w:tc>
          <w:tcPr>
            <w:cnfStyle w:val="001000000000"/>
            <w:tcW w:w="558" w:type="dxa"/>
          </w:tcPr>
          <w:p w:rsidR="00523DB3" w:rsidRDefault="00523DB3" w:rsidP="00523DB3">
            <w:r>
              <w:t>ID</w:t>
            </w:r>
          </w:p>
        </w:tc>
        <w:tc>
          <w:tcPr>
            <w:tcW w:w="3600" w:type="dxa"/>
          </w:tcPr>
          <w:p w:rsidR="00523DB3" w:rsidRDefault="00523DB3" w:rsidP="00523DB3">
            <w:pPr>
              <w:cnfStyle w:val="100000000000"/>
            </w:pPr>
            <w:r>
              <w:t>Functional Requirement</w:t>
            </w:r>
          </w:p>
        </w:tc>
        <w:tc>
          <w:tcPr>
            <w:tcW w:w="5418" w:type="dxa"/>
          </w:tcPr>
          <w:p w:rsidR="00523DB3" w:rsidRDefault="00523DB3" w:rsidP="00523DB3">
            <w:pPr>
              <w:cnfStyle w:val="100000000000"/>
            </w:pPr>
            <w:r>
              <w:t>Implementation</w:t>
            </w:r>
          </w:p>
        </w:tc>
      </w:tr>
      <w:tr w:rsidR="00523DB3" w:rsidTr="00B40576">
        <w:trPr>
          <w:cnfStyle w:val="000000100000"/>
          <w:trHeight w:val="494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T1</w:t>
            </w:r>
          </w:p>
        </w:tc>
        <w:tc>
          <w:tcPr>
            <w:tcW w:w="3600" w:type="dxa"/>
          </w:tcPr>
          <w:p w:rsidR="00523DB3" w:rsidRDefault="00371928" w:rsidP="00371928">
            <w:pPr>
              <w:spacing w:before="100" w:beforeAutospacing="1" w:after="100" w:afterAutospacing="1"/>
              <w:cnfStyle w:val="000000100000"/>
            </w:pP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>There is one up/down signal per floor. Whenever pressed, the microcontroller responds by sending an elevator to that location with the intention of going in the direction signaled.</w:t>
            </w:r>
          </w:p>
        </w:tc>
        <w:tc>
          <w:tcPr>
            <w:tcW w:w="5418" w:type="dxa"/>
          </w:tcPr>
          <w:p w:rsidR="00523DB3" w:rsidRDefault="00371928" w:rsidP="00471693">
            <w:pPr>
              <w:cnfStyle w:val="000000100000"/>
            </w:pPr>
            <w:r>
              <w:t xml:space="preserve">Button low level drivers implemented in the McGumps Microprocessor board (See </w:t>
            </w:r>
            <w:r w:rsidR="00532D36">
              <w:t>Section 2.</w:t>
            </w:r>
            <w:r w:rsidR="00471693">
              <w:t>2.5</w:t>
            </w:r>
            <w:r>
              <w:t>). The event is handled in the central processing station</w:t>
            </w:r>
            <w:r w:rsidR="00471693">
              <w:t xml:space="preserve"> via a serial I/O driver</w:t>
            </w:r>
            <w:r>
              <w:t xml:space="preserve"> (</w:t>
            </w:r>
            <w:r w:rsidR="00471693">
              <w:t>S</w:t>
            </w:r>
            <w:r>
              <w:t xml:space="preserve">ee </w:t>
            </w:r>
            <w:r w:rsidR="00532D36">
              <w:t>Section 2.</w:t>
            </w:r>
            <w:r w:rsidR="00471693">
              <w:t>2.4</w:t>
            </w:r>
            <w:r w:rsidR="00532D36">
              <w:t>)</w:t>
            </w:r>
          </w:p>
        </w:tc>
      </w:tr>
      <w:tr w:rsidR="00523DB3" w:rsidTr="00B40576">
        <w:trPr>
          <w:cnfStyle w:val="000000010000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T2</w:t>
            </w:r>
          </w:p>
        </w:tc>
        <w:tc>
          <w:tcPr>
            <w:tcW w:w="3600" w:type="dxa"/>
          </w:tcPr>
          <w:p w:rsidR="00523DB3" w:rsidRPr="00371928" w:rsidRDefault="00371928" w:rsidP="00371928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>Position feedback is sent by every elevator such that the control system is always aware of all the elevator positions.</w:t>
            </w:r>
          </w:p>
        </w:tc>
        <w:tc>
          <w:tcPr>
            <w:tcW w:w="5418" w:type="dxa"/>
          </w:tcPr>
          <w:p w:rsidR="00523DB3" w:rsidRDefault="00371928" w:rsidP="00471693">
            <w:pPr>
              <w:cnfStyle w:val="000000010000"/>
            </w:pPr>
            <w:r>
              <w:t>Since the elevator is actually virtual, its po</w:t>
            </w:r>
            <w:r w:rsidR="00532D36">
              <w:t>sition will be generated by a su</w:t>
            </w:r>
            <w:r>
              <w:t xml:space="preserve">b system of the </w:t>
            </w:r>
            <w:r w:rsidR="00532D36">
              <w:t>central processing station, responsible to create, operate and maintain the virtual elevators (See Section 2.</w:t>
            </w:r>
            <w:r w:rsidR="00471693">
              <w:t>2.2</w:t>
            </w:r>
            <w:r w:rsidR="00532D36">
              <w:t>). The elevator position feedback is also sent to the GUI which displays it on the monitor (See section 2.</w:t>
            </w:r>
            <w:r w:rsidR="00471693">
              <w:t>2.3</w:t>
            </w:r>
            <w:r w:rsidR="00532D36">
              <w:t>)</w:t>
            </w:r>
            <w:r w:rsidR="00471693">
              <w:t>. The communication is handled implicitly via a global variable elevator Object accessible by all systems.</w:t>
            </w:r>
          </w:p>
        </w:tc>
      </w:tr>
      <w:tr w:rsidR="00523DB3" w:rsidTr="00B40576">
        <w:trPr>
          <w:cnfStyle w:val="000000100000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T3</w:t>
            </w:r>
          </w:p>
        </w:tc>
        <w:tc>
          <w:tcPr>
            <w:tcW w:w="3600" w:type="dxa"/>
          </w:tcPr>
          <w:p w:rsidR="00523DB3" w:rsidRPr="00371928" w:rsidRDefault="00371928" w:rsidP="00371928">
            <w:p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>Any given elevator spans all the floors of the building, such that any floor is accessible from all the others.</w:t>
            </w:r>
          </w:p>
        </w:tc>
        <w:tc>
          <w:tcPr>
            <w:tcW w:w="5418" w:type="dxa"/>
          </w:tcPr>
          <w:p w:rsidR="00523DB3" w:rsidRDefault="00532D36" w:rsidP="00471693">
            <w:pPr>
              <w:cnfStyle w:val="000000100000"/>
            </w:pPr>
            <w:r>
              <w:t>This is implemented at a low level in the Data Processing unit (see Section 2.</w:t>
            </w:r>
            <w:r w:rsidR="00471693">
              <w:t>2.1</w:t>
            </w:r>
            <w:r>
              <w:t>) by means of variable boundaries. It is also reflected in the I/O drivers (See Section 2.</w:t>
            </w:r>
            <w:r w:rsidR="00471693">
              <w:t>2.5):</w:t>
            </w:r>
            <w:r>
              <w:t xml:space="preserve"> there are 20 valid floor buttons which can be pressed by the user), as well as in the GUI (See Section 2.</w:t>
            </w:r>
            <w:r w:rsidR="00471693">
              <w:t>2.3</w:t>
            </w:r>
            <w:r>
              <w:t xml:space="preserve"> the virtual building displayed is 20 floors high)</w:t>
            </w:r>
          </w:p>
        </w:tc>
      </w:tr>
      <w:tr w:rsidR="00523DB3" w:rsidTr="00B40576">
        <w:trPr>
          <w:cnfStyle w:val="000000010000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T4</w:t>
            </w:r>
          </w:p>
        </w:tc>
        <w:tc>
          <w:tcPr>
            <w:tcW w:w="3600" w:type="dxa"/>
          </w:tcPr>
          <w:p w:rsidR="00523DB3" w:rsidRPr="00371928" w:rsidRDefault="00371928" w:rsidP="00371928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>Each elevator is equipped with a number button board; one button representing one floor.</w:t>
            </w:r>
          </w:p>
        </w:tc>
        <w:tc>
          <w:tcPr>
            <w:tcW w:w="5418" w:type="dxa"/>
          </w:tcPr>
          <w:p w:rsidR="00523DB3" w:rsidRDefault="00B40576" w:rsidP="00471693">
            <w:pPr>
              <w:cnfStyle w:val="000000010000"/>
            </w:pPr>
            <w:r>
              <w:t xml:space="preserve">Implemented by the PS/2 keyboard connected to the McGumps Microprocessor board (See </w:t>
            </w:r>
            <w:r w:rsidR="00471693">
              <w:t>Section 2.2.5</w:t>
            </w:r>
            <w:r>
              <w:t>)</w:t>
            </w:r>
          </w:p>
        </w:tc>
      </w:tr>
      <w:tr w:rsidR="00523DB3" w:rsidTr="00B40576">
        <w:trPr>
          <w:cnfStyle w:val="000000100000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T5</w:t>
            </w:r>
          </w:p>
        </w:tc>
        <w:tc>
          <w:tcPr>
            <w:tcW w:w="3600" w:type="dxa"/>
          </w:tcPr>
          <w:p w:rsidR="00523DB3" w:rsidRPr="00371928" w:rsidRDefault="00371928" w:rsidP="00371928">
            <w:p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>Each elevator is equipped with a</w:t>
            </w:r>
            <w:r w:rsidR="00B40576">
              <w:rPr>
                <w:rFonts w:ascii="Arial" w:eastAsia="Times New Roman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EMERGENCY</w:t>
            </w: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button.</w:t>
            </w:r>
          </w:p>
        </w:tc>
        <w:tc>
          <w:tcPr>
            <w:tcW w:w="5418" w:type="dxa"/>
          </w:tcPr>
          <w:p w:rsidR="00523DB3" w:rsidRDefault="00B40576" w:rsidP="00471693">
            <w:pPr>
              <w:cnfStyle w:val="000000100000"/>
            </w:pPr>
            <w:r>
              <w:t>Implemented by the PS/2 keyboard connected to the McGumps Microprocessor board (See Section 2.1: System Architecture for Hardware and Section 2.</w:t>
            </w:r>
            <w:r w:rsidR="00471693">
              <w:t>2.5</w:t>
            </w:r>
            <w:r>
              <w:t xml:space="preserve"> for software drivers)</w:t>
            </w:r>
          </w:p>
        </w:tc>
      </w:tr>
      <w:tr w:rsidR="00523DB3" w:rsidTr="00B40576">
        <w:trPr>
          <w:cnfStyle w:val="000000010000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T6</w:t>
            </w:r>
          </w:p>
        </w:tc>
        <w:tc>
          <w:tcPr>
            <w:tcW w:w="3600" w:type="dxa"/>
          </w:tcPr>
          <w:p w:rsidR="00523DB3" w:rsidRPr="00371928" w:rsidRDefault="00371928" w:rsidP="00371928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Each elevator is equipped with an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OPEN and CLOSE door</w:t>
            </w: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button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s</w:t>
            </w:r>
            <w:r w:rsidRPr="00B75D2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5418" w:type="dxa"/>
          </w:tcPr>
          <w:p w:rsidR="00523DB3" w:rsidRDefault="00B40576" w:rsidP="00471693">
            <w:pPr>
              <w:cnfStyle w:val="000000010000"/>
            </w:pPr>
            <w:r>
              <w:t>Implemented by the PS/2 keyboard connected to the McGumps Microprocessor board (See Section 2.1: System Architecture for Hardware and Section 2.</w:t>
            </w:r>
            <w:r w:rsidR="00471693">
              <w:t>2.5</w:t>
            </w:r>
            <w:r>
              <w:t xml:space="preserve"> for software drivers)</w:t>
            </w:r>
          </w:p>
        </w:tc>
      </w:tr>
      <w:tr w:rsidR="00523DB3" w:rsidTr="00B40576">
        <w:trPr>
          <w:cnfStyle w:val="000000100000"/>
        </w:trPr>
        <w:tc>
          <w:tcPr>
            <w:cnfStyle w:val="001000000000"/>
            <w:tcW w:w="558" w:type="dxa"/>
          </w:tcPr>
          <w:p w:rsidR="00523DB3" w:rsidRDefault="00371928" w:rsidP="00523DB3">
            <w:r>
              <w:t>T7</w:t>
            </w:r>
          </w:p>
        </w:tc>
        <w:tc>
          <w:tcPr>
            <w:tcW w:w="3600" w:type="dxa"/>
          </w:tcPr>
          <w:p w:rsidR="00523DB3" w:rsidRDefault="00371928" w:rsidP="00371928">
            <w:pPr>
              <w:jc w:val="both"/>
              <w:cnfStyle w:val="000000100000"/>
            </w:pPr>
            <w:r w:rsidRPr="00371928">
              <w:rPr>
                <w:rFonts w:ascii="Arial" w:eastAsia="Times New Roman" w:hAnsi="Arial" w:cs="Arial"/>
                <w:i/>
                <w:sz w:val="24"/>
                <w:szCs w:val="24"/>
              </w:rPr>
              <w:t>A certain priority of commands will be maintained in the system.</w:t>
            </w:r>
          </w:p>
        </w:tc>
        <w:tc>
          <w:tcPr>
            <w:tcW w:w="5418" w:type="dxa"/>
          </w:tcPr>
          <w:p w:rsidR="00523DB3" w:rsidRDefault="00B40576" w:rsidP="00471693">
            <w:pPr>
              <w:cnfStyle w:val="000000100000"/>
            </w:pPr>
            <w:r>
              <w:t>Implemented in the Data Processing and decision making software component (See Section 2.</w:t>
            </w:r>
            <w:r w:rsidR="00471693">
              <w:t>2.2</w:t>
            </w:r>
            <w:r>
              <w:t>)</w:t>
            </w:r>
          </w:p>
        </w:tc>
      </w:tr>
      <w:tr w:rsidR="00371928" w:rsidTr="00B40576">
        <w:trPr>
          <w:cnfStyle w:val="000000010000"/>
        </w:trPr>
        <w:tc>
          <w:tcPr>
            <w:cnfStyle w:val="001000000000"/>
            <w:tcW w:w="558" w:type="dxa"/>
          </w:tcPr>
          <w:p w:rsidR="00371928" w:rsidRDefault="00371928" w:rsidP="00523DB3">
            <w:r>
              <w:t>T8</w:t>
            </w:r>
          </w:p>
        </w:tc>
        <w:tc>
          <w:tcPr>
            <w:tcW w:w="3600" w:type="dxa"/>
          </w:tcPr>
          <w:p w:rsidR="00371928" w:rsidRPr="00371928" w:rsidRDefault="00371928" w:rsidP="00371928">
            <w:pPr>
              <w:jc w:val="both"/>
              <w:cnfStyle w:val="0000000100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1928">
              <w:rPr>
                <w:rFonts w:ascii="Arial" w:hAnsi="Arial" w:cs="Arial"/>
                <w:i/>
                <w:color w:val="000000"/>
                <w:sz w:val="24"/>
                <w:szCs w:val="24"/>
              </w:rPr>
              <w:t>A 3D visual interface will serve as visual support for the Elevator System.</w:t>
            </w:r>
          </w:p>
        </w:tc>
        <w:tc>
          <w:tcPr>
            <w:tcW w:w="5418" w:type="dxa"/>
          </w:tcPr>
          <w:p w:rsidR="00371928" w:rsidRDefault="00B40576" w:rsidP="00471693">
            <w:pPr>
              <w:cnfStyle w:val="000000010000"/>
            </w:pPr>
            <w:r>
              <w:t>Implemented in the Graphical User Interface component (see Section 2.</w:t>
            </w:r>
            <w:r w:rsidR="00471693">
              <w:t>2.3</w:t>
            </w:r>
            <w:r>
              <w:t>)</w:t>
            </w:r>
          </w:p>
        </w:tc>
      </w:tr>
    </w:tbl>
    <w:p w:rsidR="00523DB3" w:rsidRDefault="00523DB3" w:rsidP="00523DB3"/>
    <w:p w:rsidR="00371928" w:rsidRDefault="00371928" w:rsidP="00371928"/>
    <w:tbl>
      <w:tblPr>
        <w:tblStyle w:val="LightGrid1"/>
        <w:tblW w:w="0" w:type="auto"/>
        <w:tblLook w:val="04A0"/>
      </w:tblPr>
      <w:tblGrid>
        <w:gridCol w:w="558"/>
        <w:gridCol w:w="3600"/>
        <w:gridCol w:w="5418"/>
      </w:tblGrid>
      <w:tr w:rsidR="00371928" w:rsidTr="00B40576">
        <w:trPr>
          <w:cnfStyle w:val="100000000000"/>
        </w:trPr>
        <w:tc>
          <w:tcPr>
            <w:cnfStyle w:val="001000000000"/>
            <w:tcW w:w="558" w:type="dxa"/>
          </w:tcPr>
          <w:p w:rsidR="00371928" w:rsidRDefault="00371928" w:rsidP="00040560">
            <w:r>
              <w:t>ID</w:t>
            </w:r>
          </w:p>
        </w:tc>
        <w:tc>
          <w:tcPr>
            <w:tcW w:w="3600" w:type="dxa"/>
          </w:tcPr>
          <w:p w:rsidR="00371928" w:rsidRDefault="00371928" w:rsidP="00040560">
            <w:pPr>
              <w:cnfStyle w:val="100000000000"/>
            </w:pPr>
            <w:r>
              <w:t>Error Detection Functional  Requirement</w:t>
            </w:r>
          </w:p>
        </w:tc>
        <w:tc>
          <w:tcPr>
            <w:tcW w:w="5418" w:type="dxa"/>
          </w:tcPr>
          <w:p w:rsidR="00371928" w:rsidRDefault="00371928" w:rsidP="00040560">
            <w:pPr>
              <w:cnfStyle w:val="100000000000"/>
            </w:pPr>
            <w:r>
              <w:t>Implementation</w:t>
            </w:r>
          </w:p>
        </w:tc>
      </w:tr>
      <w:tr w:rsidR="00371928" w:rsidTr="00B40576">
        <w:trPr>
          <w:cnfStyle w:val="000000100000"/>
        </w:trPr>
        <w:tc>
          <w:tcPr>
            <w:cnfStyle w:val="001000000000"/>
            <w:tcW w:w="558" w:type="dxa"/>
          </w:tcPr>
          <w:p w:rsidR="00371928" w:rsidRDefault="00371928" w:rsidP="00040560">
            <w:r>
              <w:t>T1</w:t>
            </w:r>
          </w:p>
        </w:tc>
        <w:tc>
          <w:tcPr>
            <w:tcW w:w="3600" w:type="dxa"/>
          </w:tcPr>
          <w:p w:rsidR="00371928" w:rsidRDefault="00371928" w:rsidP="00040560">
            <w:pPr>
              <w:cnfStyle w:val="000000100000"/>
            </w:pPr>
            <w:r w:rsidRPr="00943982">
              <w:rPr>
                <w:rFonts w:ascii="Arial" w:hAnsi="Arial" w:cs="Arial"/>
                <w:i/>
                <w:sz w:val="24"/>
                <w:szCs w:val="24"/>
              </w:rPr>
              <w:t>Very high speed recovery.</w:t>
            </w:r>
          </w:p>
        </w:tc>
        <w:tc>
          <w:tcPr>
            <w:tcW w:w="5418" w:type="dxa"/>
          </w:tcPr>
          <w:p w:rsidR="00371928" w:rsidRDefault="00B40576" w:rsidP="00471693">
            <w:pPr>
              <w:cnfStyle w:val="000000100000"/>
            </w:pPr>
            <w:r>
              <w:t>Implemented in the Data Processing and decision making software component (See Section 2.</w:t>
            </w:r>
            <w:r w:rsidR="00471693">
              <w:t>2.2</w:t>
            </w:r>
            <w:r>
              <w:t>)</w:t>
            </w:r>
          </w:p>
        </w:tc>
      </w:tr>
      <w:tr w:rsidR="00371928" w:rsidTr="00B40576">
        <w:trPr>
          <w:cnfStyle w:val="000000010000"/>
        </w:trPr>
        <w:tc>
          <w:tcPr>
            <w:cnfStyle w:val="001000000000"/>
            <w:tcW w:w="558" w:type="dxa"/>
          </w:tcPr>
          <w:p w:rsidR="00371928" w:rsidRDefault="00371928" w:rsidP="00040560">
            <w:r>
              <w:t>T2</w:t>
            </w:r>
          </w:p>
        </w:tc>
        <w:tc>
          <w:tcPr>
            <w:tcW w:w="3600" w:type="dxa"/>
          </w:tcPr>
          <w:p w:rsidR="00371928" w:rsidRPr="00371928" w:rsidRDefault="00371928" w:rsidP="00371928">
            <w:pPr>
              <w:jc w:val="both"/>
              <w:cnfStyle w:val="000000010000"/>
              <w:rPr>
                <w:rFonts w:ascii="Arial" w:hAnsi="Arial" w:cs="Arial"/>
                <w:i/>
                <w:sz w:val="24"/>
                <w:szCs w:val="24"/>
              </w:rPr>
            </w:pPr>
            <w:r w:rsidRPr="00371928">
              <w:rPr>
                <w:rFonts w:ascii="Arial" w:hAnsi="Arial" w:cs="Arial"/>
                <w:i/>
                <w:sz w:val="24"/>
                <w:szCs w:val="24"/>
              </w:rPr>
              <w:t>Emergency Timeout</w:t>
            </w:r>
          </w:p>
        </w:tc>
        <w:tc>
          <w:tcPr>
            <w:tcW w:w="5418" w:type="dxa"/>
          </w:tcPr>
          <w:p w:rsidR="00371928" w:rsidRDefault="00B40576" w:rsidP="00471693">
            <w:pPr>
              <w:cnfStyle w:val="000000010000"/>
            </w:pPr>
            <w:r>
              <w:t>Implemented in the Data Processing and decision making software component (See Section 2.</w:t>
            </w:r>
            <w:r w:rsidR="00471693">
              <w:t>2.2</w:t>
            </w:r>
            <w:r>
              <w:t>)</w:t>
            </w:r>
          </w:p>
        </w:tc>
      </w:tr>
    </w:tbl>
    <w:p w:rsidR="00523DB3" w:rsidRPr="00371928" w:rsidRDefault="00523DB3" w:rsidP="00371928">
      <w:pPr>
        <w:jc w:val="both"/>
        <w:rPr>
          <w:rFonts w:ascii="Arial" w:hAnsi="Arial" w:cs="Arial"/>
          <w:i/>
          <w:sz w:val="24"/>
          <w:szCs w:val="24"/>
        </w:rPr>
      </w:pPr>
    </w:p>
    <w:p w:rsidR="00B857E0" w:rsidRPr="00461F41" w:rsidRDefault="00B857E0" w:rsidP="00B857E0"/>
    <w:sectPr w:rsidR="00B857E0" w:rsidRPr="00461F41" w:rsidSect="00F51DD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5F" w:rsidRDefault="00102F5F" w:rsidP="0014340A">
      <w:pPr>
        <w:spacing w:after="0" w:line="240" w:lineRule="auto"/>
      </w:pPr>
      <w:r>
        <w:separator/>
      </w:r>
    </w:p>
  </w:endnote>
  <w:endnote w:type="continuationSeparator" w:id="1">
    <w:p w:rsidR="00102F5F" w:rsidRDefault="00102F5F" w:rsidP="0014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01" w:rsidRDefault="00172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5F" w:rsidRDefault="00102F5F" w:rsidP="0014340A">
      <w:pPr>
        <w:spacing w:after="0" w:line="240" w:lineRule="auto"/>
      </w:pPr>
      <w:r>
        <w:separator/>
      </w:r>
    </w:p>
  </w:footnote>
  <w:footnote w:type="continuationSeparator" w:id="1">
    <w:p w:rsidR="00102F5F" w:rsidRDefault="00102F5F" w:rsidP="0014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01" w:rsidRDefault="00172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811"/>
    <w:multiLevelType w:val="hybridMultilevel"/>
    <w:tmpl w:val="686C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591"/>
    <w:multiLevelType w:val="hybridMultilevel"/>
    <w:tmpl w:val="8C30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91B"/>
    <w:multiLevelType w:val="hybridMultilevel"/>
    <w:tmpl w:val="DD3E24CE"/>
    <w:lvl w:ilvl="0" w:tplc="88882F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67CA"/>
    <w:multiLevelType w:val="hybridMultilevel"/>
    <w:tmpl w:val="7812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5A70"/>
    <w:multiLevelType w:val="multilevel"/>
    <w:tmpl w:val="0ED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31765"/>
    <w:multiLevelType w:val="hybridMultilevel"/>
    <w:tmpl w:val="7C66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F3370"/>
    <w:multiLevelType w:val="hybridMultilevel"/>
    <w:tmpl w:val="3228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03772"/>
    <w:multiLevelType w:val="hybridMultilevel"/>
    <w:tmpl w:val="9C2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84456"/>
    <w:multiLevelType w:val="multilevel"/>
    <w:tmpl w:val="0ED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02C58"/>
    <w:multiLevelType w:val="hybridMultilevel"/>
    <w:tmpl w:val="3F14740A"/>
    <w:lvl w:ilvl="0" w:tplc="4844CBF8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Theme="minorHAnsi" w:hAnsiTheme="minorHAnsi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8B3E0D"/>
    <w:multiLevelType w:val="hybridMultilevel"/>
    <w:tmpl w:val="95E0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DD7"/>
    <w:rsid w:val="00010A71"/>
    <w:rsid w:val="00015E7E"/>
    <w:rsid w:val="00040560"/>
    <w:rsid w:val="000434DB"/>
    <w:rsid w:val="00044CF6"/>
    <w:rsid w:val="00045D18"/>
    <w:rsid w:val="00053E0E"/>
    <w:rsid w:val="0005431F"/>
    <w:rsid w:val="00062E35"/>
    <w:rsid w:val="00070491"/>
    <w:rsid w:val="000A4DC0"/>
    <w:rsid w:val="000C7A07"/>
    <w:rsid w:val="000D4E1A"/>
    <w:rsid w:val="000E712A"/>
    <w:rsid w:val="000F0D05"/>
    <w:rsid w:val="000F2E7B"/>
    <w:rsid w:val="000F3F35"/>
    <w:rsid w:val="00102F5F"/>
    <w:rsid w:val="00107388"/>
    <w:rsid w:val="0011056B"/>
    <w:rsid w:val="00130638"/>
    <w:rsid w:val="0014340A"/>
    <w:rsid w:val="001541BA"/>
    <w:rsid w:val="001552A6"/>
    <w:rsid w:val="00165C36"/>
    <w:rsid w:val="00172C01"/>
    <w:rsid w:val="00173044"/>
    <w:rsid w:val="001765DF"/>
    <w:rsid w:val="00184544"/>
    <w:rsid w:val="001854E2"/>
    <w:rsid w:val="00190A3C"/>
    <w:rsid w:val="001928AA"/>
    <w:rsid w:val="001A0A26"/>
    <w:rsid w:val="001A0F44"/>
    <w:rsid w:val="001A2524"/>
    <w:rsid w:val="001F41C2"/>
    <w:rsid w:val="002107A8"/>
    <w:rsid w:val="00213335"/>
    <w:rsid w:val="00216A58"/>
    <w:rsid w:val="002224F8"/>
    <w:rsid w:val="002452D0"/>
    <w:rsid w:val="0027000E"/>
    <w:rsid w:val="002700A7"/>
    <w:rsid w:val="00275E51"/>
    <w:rsid w:val="00280E39"/>
    <w:rsid w:val="002B2ED1"/>
    <w:rsid w:val="002C79E3"/>
    <w:rsid w:val="002E1BF2"/>
    <w:rsid w:val="00334F4B"/>
    <w:rsid w:val="00346AEE"/>
    <w:rsid w:val="00357B64"/>
    <w:rsid w:val="00367E20"/>
    <w:rsid w:val="00371928"/>
    <w:rsid w:val="003965A1"/>
    <w:rsid w:val="003A21A4"/>
    <w:rsid w:val="003B6B86"/>
    <w:rsid w:val="003C1AE8"/>
    <w:rsid w:val="003D42C8"/>
    <w:rsid w:val="003D71F2"/>
    <w:rsid w:val="003F0253"/>
    <w:rsid w:val="003F55F9"/>
    <w:rsid w:val="0040696E"/>
    <w:rsid w:val="00422815"/>
    <w:rsid w:val="004513D2"/>
    <w:rsid w:val="00460BEF"/>
    <w:rsid w:val="00461F41"/>
    <w:rsid w:val="00470D6B"/>
    <w:rsid w:val="00471693"/>
    <w:rsid w:val="004725C0"/>
    <w:rsid w:val="004746C1"/>
    <w:rsid w:val="0048218C"/>
    <w:rsid w:val="00483CC0"/>
    <w:rsid w:val="00487E17"/>
    <w:rsid w:val="0049292E"/>
    <w:rsid w:val="004931F4"/>
    <w:rsid w:val="00493EA5"/>
    <w:rsid w:val="004C0181"/>
    <w:rsid w:val="004D3302"/>
    <w:rsid w:val="004E4DC0"/>
    <w:rsid w:val="005006B6"/>
    <w:rsid w:val="00523A4A"/>
    <w:rsid w:val="00523DB3"/>
    <w:rsid w:val="00527C00"/>
    <w:rsid w:val="00532D36"/>
    <w:rsid w:val="00550A96"/>
    <w:rsid w:val="005510EC"/>
    <w:rsid w:val="00562FDC"/>
    <w:rsid w:val="00582845"/>
    <w:rsid w:val="0058544B"/>
    <w:rsid w:val="005968AD"/>
    <w:rsid w:val="005B13D7"/>
    <w:rsid w:val="005B697A"/>
    <w:rsid w:val="006242C5"/>
    <w:rsid w:val="006259DD"/>
    <w:rsid w:val="00636C8C"/>
    <w:rsid w:val="00637200"/>
    <w:rsid w:val="006479AC"/>
    <w:rsid w:val="00652146"/>
    <w:rsid w:val="006562D0"/>
    <w:rsid w:val="00657571"/>
    <w:rsid w:val="00663240"/>
    <w:rsid w:val="00675737"/>
    <w:rsid w:val="006B0A8D"/>
    <w:rsid w:val="006D0B09"/>
    <w:rsid w:val="00727BDE"/>
    <w:rsid w:val="00744B05"/>
    <w:rsid w:val="00773E8F"/>
    <w:rsid w:val="00776D7B"/>
    <w:rsid w:val="0077771B"/>
    <w:rsid w:val="00782718"/>
    <w:rsid w:val="00793D20"/>
    <w:rsid w:val="007A1957"/>
    <w:rsid w:val="007C7D5F"/>
    <w:rsid w:val="007E545B"/>
    <w:rsid w:val="007F4B4C"/>
    <w:rsid w:val="007F75F6"/>
    <w:rsid w:val="0081529C"/>
    <w:rsid w:val="00822E14"/>
    <w:rsid w:val="0082565E"/>
    <w:rsid w:val="0083054C"/>
    <w:rsid w:val="00864C24"/>
    <w:rsid w:val="008716FC"/>
    <w:rsid w:val="008718E6"/>
    <w:rsid w:val="00875D3D"/>
    <w:rsid w:val="00891A75"/>
    <w:rsid w:val="0089452E"/>
    <w:rsid w:val="008A22E2"/>
    <w:rsid w:val="008A72A9"/>
    <w:rsid w:val="008B4FD8"/>
    <w:rsid w:val="008B5451"/>
    <w:rsid w:val="008C35F8"/>
    <w:rsid w:val="008C430F"/>
    <w:rsid w:val="008C5182"/>
    <w:rsid w:val="008D578D"/>
    <w:rsid w:val="008E1510"/>
    <w:rsid w:val="00900D71"/>
    <w:rsid w:val="009038B1"/>
    <w:rsid w:val="00924623"/>
    <w:rsid w:val="009420BA"/>
    <w:rsid w:val="00943982"/>
    <w:rsid w:val="0096570E"/>
    <w:rsid w:val="009802C8"/>
    <w:rsid w:val="009B65FC"/>
    <w:rsid w:val="009B72C4"/>
    <w:rsid w:val="009D3A7C"/>
    <w:rsid w:val="009E6026"/>
    <w:rsid w:val="00A03628"/>
    <w:rsid w:val="00A03FC7"/>
    <w:rsid w:val="00A225E0"/>
    <w:rsid w:val="00A22E0A"/>
    <w:rsid w:val="00A551F7"/>
    <w:rsid w:val="00A627A6"/>
    <w:rsid w:val="00A8406A"/>
    <w:rsid w:val="00AD3B7F"/>
    <w:rsid w:val="00AF5270"/>
    <w:rsid w:val="00AF77E9"/>
    <w:rsid w:val="00B134FD"/>
    <w:rsid w:val="00B24D94"/>
    <w:rsid w:val="00B304E6"/>
    <w:rsid w:val="00B307B1"/>
    <w:rsid w:val="00B40576"/>
    <w:rsid w:val="00B40F54"/>
    <w:rsid w:val="00B6515D"/>
    <w:rsid w:val="00B733C7"/>
    <w:rsid w:val="00B83E00"/>
    <w:rsid w:val="00B857E0"/>
    <w:rsid w:val="00B87EC9"/>
    <w:rsid w:val="00B92EBC"/>
    <w:rsid w:val="00B9309D"/>
    <w:rsid w:val="00BA1900"/>
    <w:rsid w:val="00BA24C3"/>
    <w:rsid w:val="00BC29B5"/>
    <w:rsid w:val="00BC575F"/>
    <w:rsid w:val="00BF4815"/>
    <w:rsid w:val="00C43717"/>
    <w:rsid w:val="00C46B6A"/>
    <w:rsid w:val="00C713E7"/>
    <w:rsid w:val="00CB2C74"/>
    <w:rsid w:val="00CB2EE8"/>
    <w:rsid w:val="00CB3D25"/>
    <w:rsid w:val="00CC2072"/>
    <w:rsid w:val="00CD2AA6"/>
    <w:rsid w:val="00CE3912"/>
    <w:rsid w:val="00CF6355"/>
    <w:rsid w:val="00D177DA"/>
    <w:rsid w:val="00D20FD8"/>
    <w:rsid w:val="00D346C8"/>
    <w:rsid w:val="00D347DD"/>
    <w:rsid w:val="00D42338"/>
    <w:rsid w:val="00D47457"/>
    <w:rsid w:val="00D637D4"/>
    <w:rsid w:val="00D67E31"/>
    <w:rsid w:val="00D70B63"/>
    <w:rsid w:val="00D84E4D"/>
    <w:rsid w:val="00DD3F05"/>
    <w:rsid w:val="00DD6D08"/>
    <w:rsid w:val="00E32BCC"/>
    <w:rsid w:val="00E3379D"/>
    <w:rsid w:val="00E37827"/>
    <w:rsid w:val="00E45A90"/>
    <w:rsid w:val="00E53E18"/>
    <w:rsid w:val="00E6479B"/>
    <w:rsid w:val="00E706AC"/>
    <w:rsid w:val="00E91D15"/>
    <w:rsid w:val="00E92FAE"/>
    <w:rsid w:val="00EA5F1C"/>
    <w:rsid w:val="00EA6B5D"/>
    <w:rsid w:val="00EB0583"/>
    <w:rsid w:val="00EC6A39"/>
    <w:rsid w:val="00EE1A45"/>
    <w:rsid w:val="00EE5288"/>
    <w:rsid w:val="00F03482"/>
    <w:rsid w:val="00F03AF8"/>
    <w:rsid w:val="00F15F86"/>
    <w:rsid w:val="00F15FCD"/>
    <w:rsid w:val="00F34D15"/>
    <w:rsid w:val="00F51DD7"/>
    <w:rsid w:val="00F73BCC"/>
    <w:rsid w:val="00F91C29"/>
    <w:rsid w:val="00F9629E"/>
    <w:rsid w:val="00FC5EA7"/>
    <w:rsid w:val="00FD7113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2E"/>
  </w:style>
  <w:style w:type="paragraph" w:styleId="Heading1">
    <w:name w:val="heading 1"/>
    <w:basedOn w:val="Normal"/>
    <w:next w:val="Normal"/>
    <w:link w:val="Heading1Char"/>
    <w:uiPriority w:val="9"/>
    <w:qFormat/>
    <w:rsid w:val="00F51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35E06" w:themeColor="accent1" w:themeShade="BF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3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1D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1D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1DD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DD7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107388"/>
    <w:rPr>
      <w:rFonts w:ascii="Times New Roman" w:eastAsia="Times New Roman" w:hAnsi="Times New Roman" w:cs="Times New Roman"/>
      <w:b/>
      <w:bCs/>
      <w:color w:val="B35E06" w:themeColor="accent1" w:themeShade="BF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1DD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7388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1DD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51DD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5510E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510E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510EC"/>
    <w:rPr>
      <w:color w:val="6B9F25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10EC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8A22E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93D20"/>
  </w:style>
  <w:style w:type="character" w:customStyle="1" w:styleId="apple-converted-space">
    <w:name w:val="apple-converted-space"/>
    <w:basedOn w:val="DefaultParagraphFont"/>
    <w:rsid w:val="00CD2AA6"/>
  </w:style>
  <w:style w:type="paragraph" w:styleId="Caption">
    <w:name w:val="caption"/>
    <w:basedOn w:val="Normal"/>
    <w:next w:val="Normal"/>
    <w:uiPriority w:val="35"/>
    <w:unhideWhenUsed/>
    <w:qFormat/>
    <w:rsid w:val="00EE1A4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customStyle="1" w:styleId="figurecaption">
    <w:name w:val="figure caption"/>
    <w:rsid w:val="00B40F54"/>
    <w:pPr>
      <w:numPr>
        <w:numId w:val="8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</w:rPr>
  </w:style>
  <w:style w:type="table" w:styleId="TableGrid">
    <w:name w:val="Table Grid"/>
    <w:basedOn w:val="TableNormal"/>
    <w:uiPriority w:val="59"/>
    <w:rsid w:val="005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371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434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40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9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EA5"/>
  </w:style>
  <w:style w:type="paragraph" w:styleId="Footer">
    <w:name w:val="footer"/>
    <w:basedOn w:val="Normal"/>
    <w:link w:val="FooterChar"/>
    <w:uiPriority w:val="99"/>
    <w:semiHidden/>
    <w:unhideWhenUsed/>
    <w:rsid w:val="0049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EA5"/>
  </w:style>
  <w:style w:type="paragraph" w:styleId="Revision">
    <w:name w:val="Revision"/>
    <w:hidden/>
    <w:uiPriority w:val="99"/>
    <w:semiHidden/>
    <w:rsid w:val="00493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7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ECSE 421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754DA-3FE4-4B9B-BDE3-E5B70989B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06DC4-AD51-413F-B375-34C8F87D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System Design Document</vt:lpstr>
      <vt:lpstr>System Design Document</vt:lpstr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Design Document</dc:title>
  <dc:creator>Zeben</dc:creator>
  <cp:lastModifiedBy>Zeben</cp:lastModifiedBy>
  <cp:revision>2</cp:revision>
  <cp:lastPrinted>2010-02-09T23:49:00Z</cp:lastPrinted>
  <dcterms:created xsi:type="dcterms:W3CDTF">2010-03-09T23:18:00Z</dcterms:created>
  <dcterms:modified xsi:type="dcterms:W3CDTF">2010-03-09T23:18:00Z</dcterms:modified>
</cp:coreProperties>
</file>