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E96" w:rsidRPr="00AD6F1B" w:rsidRDefault="002C0AB7" w:rsidP="00547492">
      <w:pPr>
        <w:pStyle w:val="Heading1"/>
        <w:spacing w:line="360" w:lineRule="auto"/>
      </w:pPr>
      <w:r w:rsidRPr="002C0AB7">
        <w:t>I</w:t>
      </w:r>
      <w:r w:rsidR="00B833DD" w:rsidRPr="002C0AB7">
        <w:t>ntroduction</w:t>
      </w:r>
    </w:p>
    <w:p w:rsidR="00B833DD" w:rsidRPr="00AD6F1B" w:rsidRDefault="00B833DD" w:rsidP="00547492">
      <w:pPr>
        <w:pStyle w:val="Heading2"/>
        <w:spacing w:line="360" w:lineRule="auto"/>
      </w:pPr>
      <w:r w:rsidRPr="00AD6F1B">
        <w:t>Synopsis</w:t>
      </w:r>
    </w:p>
    <w:p w:rsidR="009F3B45" w:rsidRDefault="005531DE" w:rsidP="00547492">
      <w:pPr>
        <w:pStyle w:val="ListParagraph"/>
        <w:numPr>
          <w:ilvl w:val="0"/>
          <w:numId w:val="16"/>
        </w:numPr>
        <w:spacing w:line="360" w:lineRule="auto"/>
      </w:pPr>
      <w:r>
        <w:t xml:space="preserve">Block </w:t>
      </w:r>
      <w:r w:rsidR="00547492">
        <w:t xml:space="preserve">is the largest player </w:t>
      </w:r>
      <w:r>
        <w:t>operat</w:t>
      </w:r>
      <w:r w:rsidR="00547492">
        <w:t xml:space="preserve">ing </w:t>
      </w:r>
      <w:r>
        <w:t>in a highly fragmented industry</w:t>
      </w:r>
    </w:p>
    <w:p w:rsidR="005531DE" w:rsidRDefault="00547492" w:rsidP="00547492">
      <w:pPr>
        <w:pStyle w:val="ListParagraph"/>
        <w:numPr>
          <w:ilvl w:val="0"/>
          <w:numId w:val="16"/>
        </w:numPr>
        <w:spacing w:line="360" w:lineRule="auto"/>
      </w:pPr>
      <w:r>
        <w:t>P</w:t>
      </w:r>
      <w:r w:rsidR="005531DE">
        <w:t xml:space="preserve">roduct mix is diversified and growth </w:t>
      </w:r>
      <w:r>
        <w:t xml:space="preserve">has been </w:t>
      </w:r>
      <w:r w:rsidR="005531DE">
        <w:t>achieved by M&amp;A</w:t>
      </w:r>
      <w:r>
        <w:t>s</w:t>
      </w:r>
    </w:p>
    <w:p w:rsidR="00B12D90" w:rsidRDefault="00547492" w:rsidP="00547492">
      <w:pPr>
        <w:pStyle w:val="ListParagraph"/>
        <w:numPr>
          <w:ilvl w:val="0"/>
          <w:numId w:val="16"/>
        </w:numPr>
        <w:spacing w:line="360" w:lineRule="auto"/>
      </w:pPr>
      <w:r>
        <w:t xml:space="preserve">Strong </w:t>
      </w:r>
      <w:r w:rsidR="00B12D90">
        <w:t xml:space="preserve">brand and </w:t>
      </w:r>
      <w:r>
        <w:t>core competency in</w:t>
      </w:r>
      <w:r w:rsidR="00B12D90">
        <w:t xml:space="preserve"> tax preparation</w:t>
      </w:r>
    </w:p>
    <w:p w:rsidR="00547492" w:rsidRDefault="00547492" w:rsidP="00547492">
      <w:pPr>
        <w:pStyle w:val="ListParagraph"/>
        <w:numPr>
          <w:ilvl w:val="0"/>
          <w:numId w:val="16"/>
        </w:numPr>
        <w:spacing w:line="360" w:lineRule="auto"/>
      </w:pPr>
      <w:r>
        <w:t>S</w:t>
      </w:r>
      <w:r w:rsidR="00B12D90">
        <w:t xml:space="preserve">hift in customer demographics towards lower income </w:t>
      </w:r>
      <w:r>
        <w:t>filers</w:t>
      </w:r>
    </w:p>
    <w:p w:rsidR="00B12D90" w:rsidRDefault="00547492" w:rsidP="00547492">
      <w:pPr>
        <w:pStyle w:val="ListParagraph"/>
        <w:numPr>
          <w:ilvl w:val="0"/>
          <w:numId w:val="16"/>
        </w:numPr>
        <w:spacing w:line="360" w:lineRule="auto"/>
      </w:pPr>
      <w:r>
        <w:t>C</w:t>
      </w:r>
      <w:r w:rsidR="00B12D90">
        <w:t>onsidering expansion in AFS industry</w:t>
      </w:r>
    </w:p>
    <w:p w:rsidR="00B833DD" w:rsidRPr="00AD6F1B" w:rsidRDefault="00B833DD" w:rsidP="00547492">
      <w:pPr>
        <w:pStyle w:val="Heading2"/>
        <w:spacing w:line="360" w:lineRule="auto"/>
      </w:pPr>
      <w:r w:rsidRPr="00AD6F1B">
        <w:t>Problem Statement</w:t>
      </w:r>
    </w:p>
    <w:p w:rsidR="00B12D90" w:rsidRDefault="002C0AB7" w:rsidP="00547492">
      <w:pPr>
        <w:spacing w:line="360" w:lineRule="auto"/>
      </w:pPr>
      <w:r>
        <w:t>Address</w:t>
      </w:r>
      <w:r w:rsidR="00547492">
        <w:t xml:space="preserve"> disconnect between H&amp;R’s brand/</w:t>
      </w:r>
      <w:r>
        <w:t>core competency of tax preparation</w:t>
      </w:r>
      <w:r w:rsidR="00547492">
        <w:t>,</w:t>
      </w:r>
      <w:r>
        <w:t xml:space="preserve"> and </w:t>
      </w:r>
      <w:r w:rsidR="00B12D90">
        <w:t>recent diversifications and plans to expand in AFS</w:t>
      </w:r>
      <w:r>
        <w:t xml:space="preserve">. </w:t>
      </w:r>
      <w:r w:rsidR="00B12D90">
        <w:t>Most important symptoms observed are:</w:t>
      </w:r>
    </w:p>
    <w:p w:rsidR="00B12D90" w:rsidRDefault="00B12D90" w:rsidP="00547492">
      <w:pPr>
        <w:pStyle w:val="ListParagraph"/>
        <w:numPr>
          <w:ilvl w:val="0"/>
          <w:numId w:val="43"/>
        </w:numPr>
        <w:spacing w:line="360" w:lineRule="auto"/>
      </w:pPr>
      <w:r>
        <w:t xml:space="preserve">30% churn rate and alarmingly increasing </w:t>
      </w:r>
      <w:r w:rsidR="00547492">
        <w:t xml:space="preserve">customer acquisition </w:t>
      </w:r>
      <w:r>
        <w:t>cost</w:t>
      </w:r>
      <w:r w:rsidR="00547492">
        <w:t>s</w:t>
      </w:r>
      <w:r>
        <w:t xml:space="preserve"> </w:t>
      </w:r>
    </w:p>
    <w:p w:rsidR="00B12D90" w:rsidRDefault="00547492" w:rsidP="00547492">
      <w:pPr>
        <w:pStyle w:val="ListParagraph"/>
        <w:numPr>
          <w:ilvl w:val="0"/>
          <w:numId w:val="43"/>
        </w:numPr>
        <w:spacing w:line="360" w:lineRule="auto"/>
      </w:pPr>
      <w:r>
        <w:t>D</w:t>
      </w:r>
      <w:r w:rsidR="00B12D90">
        <w:t>eclining number of customers</w:t>
      </w:r>
    </w:p>
    <w:p w:rsidR="00B833DD" w:rsidRPr="00AD6F1B" w:rsidRDefault="00B833DD" w:rsidP="00547492">
      <w:pPr>
        <w:pStyle w:val="Heading2"/>
        <w:spacing w:line="360" w:lineRule="auto"/>
        <w:ind w:left="0"/>
      </w:pPr>
      <w:r w:rsidRPr="00AD6F1B">
        <w:t>Ethical Factors</w:t>
      </w:r>
    </w:p>
    <w:p w:rsidR="00B12D90" w:rsidRDefault="00B12D90" w:rsidP="00547492">
      <w:pPr>
        <w:pStyle w:val="ListParagraph"/>
        <w:numPr>
          <w:ilvl w:val="0"/>
          <w:numId w:val="42"/>
        </w:numPr>
        <w:spacing w:line="360" w:lineRule="auto"/>
      </w:pPr>
      <w:r>
        <w:t xml:space="preserve">How </w:t>
      </w:r>
      <w:r w:rsidR="00547492">
        <w:t xml:space="preserve">to </w:t>
      </w:r>
      <w:r>
        <w:t>earn profits from the poorest</w:t>
      </w:r>
      <w:r w:rsidR="00547492">
        <w:t xml:space="preserve"> </w:t>
      </w:r>
      <w:r w:rsidR="006B2613">
        <w:t xml:space="preserve">population </w:t>
      </w:r>
      <w:r w:rsidR="00547492">
        <w:t xml:space="preserve">segment in a socially responsible </w:t>
      </w:r>
      <w:r>
        <w:t>manner</w:t>
      </w:r>
    </w:p>
    <w:p w:rsidR="006B2613" w:rsidRDefault="006B2613" w:rsidP="00547492">
      <w:pPr>
        <w:pStyle w:val="ListParagraph"/>
        <w:numPr>
          <w:ilvl w:val="0"/>
          <w:numId w:val="42"/>
        </w:numPr>
        <w:spacing w:line="360" w:lineRule="auto"/>
      </w:pPr>
      <w:r>
        <w:t>How to help break the cycle of poverty rather than profiting from it</w:t>
      </w:r>
    </w:p>
    <w:p w:rsidR="00B833DD" w:rsidRPr="00AD6F1B" w:rsidRDefault="00547492" w:rsidP="00547492">
      <w:pPr>
        <w:pStyle w:val="Heading2"/>
        <w:spacing w:line="360" w:lineRule="auto"/>
      </w:pPr>
      <w:r>
        <w:t>S</w:t>
      </w:r>
      <w:r w:rsidR="00B833DD" w:rsidRPr="00AD6F1B">
        <w:t>trategy</w:t>
      </w:r>
    </w:p>
    <w:p w:rsidR="002C0AB7" w:rsidRDefault="002C0AB7" w:rsidP="00547492">
      <w:pPr>
        <w:pStyle w:val="ListParagraph"/>
        <w:numPr>
          <w:ilvl w:val="0"/>
          <w:numId w:val="6"/>
        </w:numPr>
        <w:spacing w:line="360" w:lineRule="auto"/>
      </w:pPr>
      <w:r>
        <w:t>Historically achieved p</w:t>
      </w:r>
      <w:r w:rsidRPr="00AD6F1B">
        <w:t>roduct diversification via M&amp;A</w:t>
      </w:r>
      <w:r>
        <w:t>s</w:t>
      </w:r>
      <w:r w:rsidRPr="00AD6F1B">
        <w:t xml:space="preserve"> rather than internal development</w:t>
      </w:r>
    </w:p>
    <w:p w:rsidR="006B2613" w:rsidRDefault="006B2613" w:rsidP="00547492">
      <w:pPr>
        <w:pStyle w:val="ListParagraph"/>
        <w:numPr>
          <w:ilvl w:val="0"/>
          <w:numId w:val="6"/>
        </w:numPr>
        <w:spacing w:line="360" w:lineRule="auto"/>
      </w:pPr>
      <w:r>
        <w:t>Product mix expansion in financial services</w:t>
      </w:r>
    </w:p>
    <w:p w:rsidR="00B12D90" w:rsidRDefault="00B12D90" w:rsidP="00547492">
      <w:pPr>
        <w:spacing w:line="360" w:lineRule="auto"/>
      </w:pPr>
    </w:p>
    <w:p w:rsidR="0004189D" w:rsidRDefault="0004189D">
      <w:pPr>
        <w:rPr>
          <w:rFonts w:asciiTheme="majorHAnsi" w:eastAsiaTheme="majorEastAsia" w:hAnsiTheme="majorHAnsi" w:cstheme="majorBidi"/>
          <w:b/>
          <w:bCs/>
          <w:color w:val="622423" w:themeColor="accent2" w:themeShade="7F"/>
          <w:sz w:val="22"/>
          <w:szCs w:val="22"/>
        </w:rPr>
      </w:pPr>
      <w:r>
        <w:br w:type="page"/>
      </w:r>
    </w:p>
    <w:p w:rsidR="005531DE" w:rsidRDefault="00B833DD" w:rsidP="00547492">
      <w:pPr>
        <w:pStyle w:val="Heading1"/>
        <w:spacing w:line="360" w:lineRule="auto"/>
      </w:pPr>
      <w:r w:rsidRPr="00AD6F1B">
        <w:lastRenderedPageBreak/>
        <w:t>External Analysis</w:t>
      </w:r>
    </w:p>
    <w:p w:rsidR="005531DE" w:rsidRPr="005531DE" w:rsidRDefault="005531DE" w:rsidP="00547492">
      <w:pPr>
        <w:pStyle w:val="Heading2"/>
        <w:spacing w:line="360" w:lineRule="auto"/>
      </w:pPr>
      <w:r>
        <w:t>Personal Tax</w:t>
      </w:r>
    </w:p>
    <w:p w:rsidR="00B833DD" w:rsidRPr="00AD6F1B" w:rsidRDefault="00B61F02" w:rsidP="00547492">
      <w:pPr>
        <w:pStyle w:val="Heading4"/>
        <w:spacing w:line="360" w:lineRule="auto"/>
      </w:pPr>
      <w:r>
        <w:t>Structure</w:t>
      </w:r>
    </w:p>
    <w:p w:rsidR="00D61ADE" w:rsidRDefault="00D61ADE" w:rsidP="00D61ADE">
      <w:pPr>
        <w:pStyle w:val="ListParagraph"/>
        <w:numPr>
          <w:ilvl w:val="0"/>
          <w:numId w:val="45"/>
        </w:numPr>
        <w:spacing w:line="360" w:lineRule="auto"/>
      </w:pPr>
      <w:r>
        <w:t>H</w:t>
      </w:r>
      <w:r w:rsidR="00E564F6">
        <w:t>ighly fragmented</w:t>
      </w:r>
      <w:r>
        <w:t>;</w:t>
      </w:r>
      <w:r w:rsidR="00E564F6">
        <w:t xml:space="preserve"> </w:t>
      </w:r>
      <w:r>
        <w:t>B</w:t>
      </w:r>
      <w:r w:rsidR="00E564F6">
        <w:t>lock</w:t>
      </w:r>
      <w:r>
        <w:t xml:space="preserve"> is largest with 2 other major players</w:t>
      </w:r>
    </w:p>
    <w:p w:rsidR="00E564F6" w:rsidRDefault="00D61ADE" w:rsidP="00D61ADE">
      <w:pPr>
        <w:pStyle w:val="ListParagraph"/>
        <w:numPr>
          <w:ilvl w:val="0"/>
          <w:numId w:val="45"/>
        </w:numPr>
        <w:spacing w:line="360" w:lineRule="auto"/>
      </w:pPr>
      <w:r>
        <w:t>F</w:t>
      </w:r>
      <w:r w:rsidR="00E564F6">
        <w:t>ollowing chart shows market s</w:t>
      </w:r>
      <w:r w:rsidR="006B2613">
        <w:t>hare in terms of # of customers</w:t>
      </w:r>
      <w:r w:rsidR="00E564F6">
        <w:t>:</w:t>
      </w:r>
    </w:p>
    <w:p w:rsidR="00E564F6" w:rsidRDefault="00C01A90" w:rsidP="00547492">
      <w:pPr>
        <w:spacing w:line="360" w:lineRule="auto"/>
        <w:jc w:val="center"/>
      </w:pPr>
      <w:r>
        <w:rPr>
          <w:noProof/>
        </w:rPr>
        <w:drawing>
          <wp:inline distT="0" distB="0" distL="0" distR="0" wp14:anchorId="2CA6E435" wp14:editId="68452CD6">
            <wp:extent cx="2162175" cy="21717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03E96CDC" wp14:editId="40D608ED">
            <wp:extent cx="3076575" cy="2181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0C22" w:rsidRPr="00AD6F1B" w:rsidRDefault="004A0C22" w:rsidP="00547492">
      <w:pPr>
        <w:spacing w:line="360" w:lineRule="auto"/>
      </w:pPr>
    </w:p>
    <w:p w:rsidR="00D61ADE" w:rsidRDefault="00D61ADE" w:rsidP="00D61ADE">
      <w:pPr>
        <w:pStyle w:val="ListParagraph"/>
        <w:numPr>
          <w:ilvl w:val="0"/>
          <w:numId w:val="46"/>
        </w:numPr>
        <w:spacing w:line="360" w:lineRule="auto"/>
      </w:pPr>
      <w:r>
        <w:t>C</w:t>
      </w:r>
      <w:r w:rsidRPr="00AD6F1B">
        <w:t>lear demand for RAL</w:t>
      </w:r>
      <w:r>
        <w:t xml:space="preserve">, accentuated in lower income filers </w:t>
      </w:r>
    </w:p>
    <w:p w:rsidR="00D61ADE" w:rsidRPr="00AD6F1B" w:rsidRDefault="00D61ADE" w:rsidP="00D61ADE">
      <w:pPr>
        <w:pStyle w:val="ListParagraph"/>
        <w:numPr>
          <w:ilvl w:val="0"/>
          <w:numId w:val="46"/>
        </w:numPr>
        <w:spacing w:line="360" w:lineRule="auto"/>
      </w:pPr>
      <w:r>
        <w:t>Customers are moving away from relying on relationships when choosing tax filer</w:t>
      </w:r>
    </w:p>
    <w:p w:rsidR="004A0C22" w:rsidRPr="00AD6F1B" w:rsidRDefault="00E564F6" w:rsidP="00D61ADE">
      <w:pPr>
        <w:pStyle w:val="ListParagraph"/>
        <w:numPr>
          <w:ilvl w:val="0"/>
          <w:numId w:val="46"/>
        </w:numPr>
        <w:spacing w:line="360" w:lineRule="auto"/>
      </w:pPr>
      <w:r>
        <w:t xml:space="preserve">The </w:t>
      </w:r>
      <w:r w:rsidR="004A0C22" w:rsidRPr="00AD6F1B">
        <w:t xml:space="preserve">PC based </w:t>
      </w:r>
      <w:r>
        <w:t xml:space="preserve">tax preparation </w:t>
      </w:r>
      <w:r w:rsidR="004A0C22" w:rsidRPr="00AD6F1B">
        <w:t>market</w:t>
      </w:r>
      <w:r>
        <w:t xml:space="preserve"> only has 2 major players</w:t>
      </w:r>
      <w:r w:rsidR="006B2613">
        <w:t>:</w:t>
      </w:r>
      <w:r w:rsidR="004A0C22" w:rsidRPr="00AD6F1B">
        <w:t xml:space="preserve"> </w:t>
      </w:r>
    </w:p>
    <w:p w:rsidR="004A0C22" w:rsidRPr="00AD6F1B" w:rsidRDefault="004A0C22" w:rsidP="00547492">
      <w:pPr>
        <w:pStyle w:val="ListParagraph"/>
        <w:numPr>
          <w:ilvl w:val="0"/>
          <w:numId w:val="9"/>
        </w:numPr>
        <w:spacing w:line="360" w:lineRule="auto"/>
      </w:pPr>
      <w:r w:rsidRPr="00AD6F1B">
        <w:t>Block</w:t>
      </w:r>
      <w:r w:rsidR="00D61ADE">
        <w:t xml:space="preserve">: </w:t>
      </w:r>
      <w:r w:rsidRPr="00AD6F1B">
        <w:t xml:space="preserve"> </w:t>
      </w:r>
      <w:r w:rsidR="00D61ADE">
        <w:t xml:space="preserve">Share </w:t>
      </w:r>
      <w:r w:rsidRPr="00AD6F1B">
        <w:t>30%; revenues $88M, margins 10%</w:t>
      </w:r>
    </w:p>
    <w:p w:rsidR="00D61ADE" w:rsidRDefault="004A0C22" w:rsidP="00547492">
      <w:pPr>
        <w:pStyle w:val="ListParagraph"/>
        <w:numPr>
          <w:ilvl w:val="0"/>
          <w:numId w:val="9"/>
        </w:numPr>
        <w:spacing w:line="360" w:lineRule="auto"/>
      </w:pPr>
      <w:r w:rsidRPr="00AD6F1B">
        <w:t xml:space="preserve">Inuit: </w:t>
      </w:r>
      <w:r w:rsidR="00D61ADE">
        <w:t xml:space="preserve">Share </w:t>
      </w:r>
      <w:r w:rsidRPr="00AD6F1B">
        <w:t>70%; revenues $487M, margins 23.7%</w:t>
      </w:r>
      <w:r w:rsidR="00D61ADE">
        <w:t xml:space="preserve"> (more efficient)</w:t>
      </w:r>
      <w:r w:rsidR="00D61ADE">
        <w:br/>
      </w:r>
    </w:p>
    <w:p w:rsidR="00B833DD" w:rsidRPr="00AD6F1B" w:rsidRDefault="00B833DD" w:rsidP="00547492">
      <w:pPr>
        <w:pStyle w:val="Heading4"/>
        <w:spacing w:line="360" w:lineRule="auto"/>
      </w:pPr>
      <w:r w:rsidRPr="00AD6F1B">
        <w:t>Industry Economics</w:t>
      </w:r>
    </w:p>
    <w:p w:rsidR="00C01A90" w:rsidRDefault="00F41B81" w:rsidP="006B2613">
      <w:pPr>
        <w:pStyle w:val="ListParagraph"/>
        <w:numPr>
          <w:ilvl w:val="0"/>
          <w:numId w:val="8"/>
        </w:numPr>
        <w:spacing w:line="360" w:lineRule="auto"/>
      </w:pPr>
      <w:r>
        <w:t>Large and growing industry</w:t>
      </w:r>
      <w:r w:rsidR="00AA549E">
        <w:t>, highly seasonal</w:t>
      </w:r>
      <w:r>
        <w:t xml:space="preserve">: </w:t>
      </w:r>
      <w:r w:rsidR="006B2613">
        <w:t xml:space="preserve">13.4B$, </w:t>
      </w:r>
      <w:r w:rsidR="0012225A" w:rsidRPr="00AD6F1B">
        <w:t xml:space="preserve">130M </w:t>
      </w:r>
      <w:r w:rsidR="006B2613">
        <w:t xml:space="preserve">filings, </w:t>
      </w:r>
      <w:r>
        <w:t xml:space="preserve">1-3% </w:t>
      </w:r>
      <w:r w:rsidR="006B2613">
        <w:t xml:space="preserve">growth </w:t>
      </w:r>
    </w:p>
    <w:p w:rsidR="00F41B81" w:rsidRDefault="00C01A90" w:rsidP="00547492">
      <w:pPr>
        <w:pStyle w:val="ListParagraph"/>
        <w:numPr>
          <w:ilvl w:val="0"/>
          <w:numId w:val="8"/>
        </w:numPr>
        <w:spacing w:line="360" w:lineRule="auto"/>
      </w:pPr>
      <w:r>
        <w:t>Firms have 2 m</w:t>
      </w:r>
      <w:r w:rsidR="00E04C29" w:rsidRPr="00AD6F1B">
        <w:t xml:space="preserve">ain </w:t>
      </w:r>
      <w:r>
        <w:t xml:space="preserve">channels of </w:t>
      </w:r>
      <w:r w:rsidR="00E04C29" w:rsidRPr="00AD6F1B">
        <w:t>revenues</w:t>
      </w:r>
      <w:r>
        <w:t>:</w:t>
      </w:r>
      <w:r w:rsidR="00E04C29" w:rsidRPr="00AD6F1B">
        <w:t xml:space="preserve"> Tax preparation fees &amp; RALs fees</w:t>
      </w:r>
    </w:p>
    <w:p w:rsidR="00B85B8C" w:rsidRDefault="00B85B8C" w:rsidP="00547492">
      <w:pPr>
        <w:pStyle w:val="ListParagraph"/>
        <w:numPr>
          <w:ilvl w:val="0"/>
          <w:numId w:val="8"/>
        </w:numPr>
        <w:spacing w:line="360" w:lineRule="auto"/>
      </w:pPr>
      <w:r w:rsidRPr="00AD6F1B">
        <w:t>Compensation</w:t>
      </w:r>
      <w:r>
        <w:t xml:space="preserve"> for professional serv</w:t>
      </w:r>
      <w:r w:rsidR="006B2613">
        <w:t>ices is the largest cost driver</w:t>
      </w:r>
    </w:p>
    <w:p w:rsidR="006B2613" w:rsidRDefault="00B85B8C" w:rsidP="00B61F02">
      <w:pPr>
        <w:pStyle w:val="ListParagraph"/>
        <w:numPr>
          <w:ilvl w:val="0"/>
          <w:numId w:val="8"/>
        </w:numPr>
        <w:spacing w:line="360" w:lineRule="auto"/>
      </w:pPr>
      <w:r>
        <w:t>The IRS implements ~</w:t>
      </w:r>
      <w:r w:rsidRPr="00AD6F1B">
        <w:t xml:space="preserve">425 changes per year to tax code, </w:t>
      </w:r>
      <w:r>
        <w:t xml:space="preserve">this implies </w:t>
      </w:r>
      <w:r w:rsidRPr="00AD6F1B">
        <w:t>training &amp; changes to software</w:t>
      </w:r>
      <w:r>
        <w:t xml:space="preserve"> </w:t>
      </w:r>
    </w:p>
    <w:p w:rsidR="00B85B8C" w:rsidRDefault="006B2613" w:rsidP="00B61F02">
      <w:pPr>
        <w:pStyle w:val="ListParagraph"/>
        <w:numPr>
          <w:ilvl w:val="0"/>
          <w:numId w:val="8"/>
        </w:numPr>
        <w:spacing w:line="360" w:lineRule="auto"/>
      </w:pPr>
      <w:r>
        <w:t>With diminishing focus on relationships, downwards pressure on prices and technology adoption, shift towards online filing is expected.</w:t>
      </w:r>
    </w:p>
    <w:p w:rsidR="00B833DD" w:rsidRPr="00AD6F1B" w:rsidRDefault="00B61F02" w:rsidP="00547492">
      <w:pPr>
        <w:pStyle w:val="Heading4"/>
        <w:spacing w:line="360" w:lineRule="auto"/>
      </w:pPr>
      <w:r>
        <w:t>KSF</w:t>
      </w:r>
    </w:p>
    <w:p w:rsidR="00C01A90" w:rsidRDefault="00B85B8C" w:rsidP="00547492">
      <w:pPr>
        <w:pStyle w:val="ListParagraph"/>
        <w:numPr>
          <w:ilvl w:val="0"/>
          <w:numId w:val="11"/>
        </w:numPr>
        <w:spacing w:line="360" w:lineRule="auto"/>
      </w:pPr>
      <w:r>
        <w:t>C</w:t>
      </w:r>
      <w:r w:rsidR="00C01A90">
        <w:t>ost efficiency in order for firms to be able to offer low prices</w:t>
      </w:r>
    </w:p>
    <w:p w:rsidR="00A87AA2" w:rsidRDefault="00B85B8C" w:rsidP="00547492">
      <w:pPr>
        <w:pStyle w:val="ListParagraph"/>
        <w:numPr>
          <w:ilvl w:val="0"/>
          <w:numId w:val="11"/>
        </w:numPr>
        <w:spacing w:line="360" w:lineRule="auto"/>
      </w:pPr>
      <w:r>
        <w:lastRenderedPageBreak/>
        <w:t>Accessibility/</w:t>
      </w:r>
      <w:r w:rsidR="006B2613">
        <w:t>Proximity to customers</w:t>
      </w:r>
    </w:p>
    <w:p w:rsidR="00A87AA2" w:rsidRPr="00AD6F1B" w:rsidRDefault="00A87AA2" w:rsidP="00547492">
      <w:pPr>
        <w:pStyle w:val="ListParagraph"/>
        <w:spacing w:line="360" w:lineRule="auto"/>
      </w:pPr>
    </w:p>
    <w:p w:rsidR="00B833DD" w:rsidRDefault="00B833DD" w:rsidP="00547492">
      <w:pPr>
        <w:pStyle w:val="Heading4"/>
        <w:spacing w:line="360" w:lineRule="auto"/>
      </w:pPr>
      <w:r w:rsidRPr="00AD6F1B">
        <w:t>Competitive Situation</w:t>
      </w:r>
    </w:p>
    <w:p w:rsidR="005531DE" w:rsidRDefault="00724009" w:rsidP="00547492">
      <w:pPr>
        <w:spacing w:line="360" w:lineRule="auto"/>
      </w:pPr>
      <w:r>
        <w:t>Rivalry</w:t>
      </w:r>
      <w:r w:rsidR="00B85B8C">
        <w:t>:</w:t>
      </w:r>
      <w:r>
        <w:t xml:space="preserve"> High</w:t>
      </w:r>
    </w:p>
    <w:p w:rsidR="00724009" w:rsidRDefault="006B2613" w:rsidP="00547492">
      <w:pPr>
        <w:pStyle w:val="ListParagraph"/>
        <w:numPr>
          <w:ilvl w:val="0"/>
          <w:numId w:val="22"/>
        </w:numPr>
        <w:spacing w:line="360" w:lineRule="auto"/>
      </w:pPr>
      <w:r>
        <w:t>C</w:t>
      </w:r>
      <w:r w:rsidR="00724009">
        <w:t xml:space="preserve">ompetitor opening </w:t>
      </w:r>
      <w:r>
        <w:t xml:space="preserve">shop </w:t>
      </w:r>
      <w:r w:rsidR="00724009">
        <w:t>across the street and competing on price</w:t>
      </w:r>
    </w:p>
    <w:p w:rsidR="00724009" w:rsidRDefault="00724009" w:rsidP="00547492">
      <w:pPr>
        <w:pStyle w:val="ListParagraph"/>
        <w:numPr>
          <w:ilvl w:val="0"/>
          <w:numId w:val="22"/>
        </w:numPr>
        <w:spacing w:line="360" w:lineRule="auto"/>
      </w:pPr>
      <w:r>
        <w:t>Rival</w:t>
      </w:r>
      <w:r w:rsidR="006B2613">
        <w:t>s</w:t>
      </w:r>
      <w:r>
        <w:t xml:space="preserve"> </w:t>
      </w:r>
      <w:r w:rsidR="00CF0027">
        <w:t>poach</w:t>
      </w:r>
      <w:r>
        <w:t xml:space="preserve"> Block employees</w:t>
      </w:r>
    </w:p>
    <w:p w:rsidR="00B85B8C" w:rsidRDefault="006B2613" w:rsidP="00547492">
      <w:pPr>
        <w:spacing w:line="360" w:lineRule="auto"/>
      </w:pPr>
      <w:r>
        <w:t>N</w:t>
      </w:r>
      <w:r w:rsidR="00B85B8C">
        <w:t>ew entrants</w:t>
      </w:r>
      <w:r w:rsidR="00724009">
        <w:t>: High</w:t>
      </w:r>
    </w:p>
    <w:p w:rsidR="00724009" w:rsidRDefault="00724009" w:rsidP="00B61F02">
      <w:pPr>
        <w:pStyle w:val="ListParagraph"/>
        <w:numPr>
          <w:ilvl w:val="0"/>
          <w:numId w:val="22"/>
        </w:numPr>
        <w:spacing w:line="360" w:lineRule="auto"/>
      </w:pPr>
      <w:r>
        <w:t xml:space="preserve">50k+ </w:t>
      </w:r>
      <w:r w:rsidR="006B2613">
        <w:t>unbranded</w:t>
      </w:r>
      <w:r>
        <w:t xml:space="preserve"> shops</w:t>
      </w:r>
      <w:r w:rsidR="006B2613">
        <w:t>, l</w:t>
      </w:r>
      <w:r>
        <w:t>ow barrier to entry and very little setup costs</w:t>
      </w:r>
      <w:r w:rsidR="00CF0027">
        <w:t xml:space="preserve"> </w:t>
      </w:r>
      <w:r w:rsidR="00B61F02">
        <w:t>(</w:t>
      </w:r>
      <w:r>
        <w:t>mostly variable</w:t>
      </w:r>
      <w:r w:rsidR="00B61F02">
        <w:t>)</w:t>
      </w:r>
      <w:r>
        <w:t xml:space="preserve"> </w:t>
      </w:r>
    </w:p>
    <w:p w:rsidR="00B61F02" w:rsidRDefault="00B61F02" w:rsidP="00B61F02">
      <w:pPr>
        <w:spacing w:line="360" w:lineRule="auto"/>
      </w:pPr>
      <w:r>
        <w:t>S</w:t>
      </w:r>
      <w:r w:rsidR="00B85B8C">
        <w:t>ubstitutes</w:t>
      </w:r>
      <w:r w:rsidR="00724009">
        <w:t>: Medium</w:t>
      </w:r>
    </w:p>
    <w:p w:rsidR="00B61F02" w:rsidRDefault="00B61F02" w:rsidP="00B61F02">
      <w:pPr>
        <w:pStyle w:val="ListParagraph"/>
        <w:numPr>
          <w:ilvl w:val="0"/>
          <w:numId w:val="22"/>
        </w:numPr>
        <w:spacing w:line="360" w:lineRule="auto"/>
      </w:pPr>
      <w:r>
        <w:t>R</w:t>
      </w:r>
      <w:r w:rsidR="00724009">
        <w:t>elatives</w:t>
      </w:r>
      <w:r>
        <w:t>/</w:t>
      </w:r>
      <w:r w:rsidR="00724009">
        <w:t xml:space="preserve">friends </w:t>
      </w:r>
      <w:r>
        <w:t xml:space="preserve">can </w:t>
      </w:r>
      <w:r w:rsidR="00724009">
        <w:t xml:space="preserve">prepare returns, </w:t>
      </w:r>
      <w:r>
        <w:t>no certification required</w:t>
      </w:r>
    </w:p>
    <w:p w:rsidR="00CF0027" w:rsidRDefault="00B61F02" w:rsidP="00B61F02">
      <w:pPr>
        <w:pStyle w:val="ListParagraph"/>
        <w:numPr>
          <w:ilvl w:val="0"/>
          <w:numId w:val="22"/>
        </w:numPr>
        <w:spacing w:line="360" w:lineRule="auto"/>
      </w:pPr>
      <w:r>
        <w:t xml:space="preserve">When refund (77% cases), </w:t>
      </w:r>
      <w:r w:rsidR="00CF0027">
        <w:t>no penalties for not filling taxes</w:t>
      </w:r>
    </w:p>
    <w:p w:rsidR="00724009" w:rsidRDefault="00B85B8C" w:rsidP="00547492">
      <w:pPr>
        <w:spacing w:line="360" w:lineRule="auto"/>
      </w:pPr>
      <w:r>
        <w:t>Power of suppliers</w:t>
      </w:r>
      <w:r w:rsidR="00724009">
        <w:t xml:space="preserve">: Not applicable </w:t>
      </w:r>
      <w:r w:rsidR="00B61F02">
        <w:t>(</w:t>
      </w:r>
      <w:r w:rsidR="00724009">
        <w:t>service based industry</w:t>
      </w:r>
      <w:r w:rsidR="00B61F02">
        <w:t>)</w:t>
      </w:r>
    </w:p>
    <w:p w:rsidR="00B85B8C" w:rsidRDefault="00B85B8C" w:rsidP="00547492">
      <w:pPr>
        <w:spacing w:line="360" w:lineRule="auto"/>
      </w:pPr>
      <w:r>
        <w:t>Power of customers</w:t>
      </w:r>
      <w:r w:rsidR="00724009">
        <w:t>: Medium</w:t>
      </w:r>
    </w:p>
    <w:p w:rsidR="00B85B8C" w:rsidRDefault="00B61F02" w:rsidP="00B61F02">
      <w:pPr>
        <w:pStyle w:val="ListParagraph"/>
        <w:numPr>
          <w:ilvl w:val="0"/>
          <w:numId w:val="22"/>
        </w:numPr>
        <w:spacing w:line="360" w:lineRule="auto"/>
      </w:pPr>
      <w:r>
        <w:t xml:space="preserve">Easy to change </w:t>
      </w:r>
      <w:r w:rsidR="00724009">
        <w:t>tax accountants</w:t>
      </w:r>
      <w:r>
        <w:t xml:space="preserve"> but </w:t>
      </w:r>
      <w:r w:rsidR="00724009">
        <w:t xml:space="preserve">migration of </w:t>
      </w:r>
      <w:r>
        <w:t>h</w:t>
      </w:r>
      <w:r w:rsidR="00724009">
        <w:t>istory can be tedious</w:t>
      </w:r>
    </w:p>
    <w:p w:rsidR="00B85B8C" w:rsidRDefault="00B85B8C" w:rsidP="00547492">
      <w:pPr>
        <w:spacing w:line="360" w:lineRule="auto"/>
      </w:pPr>
    </w:p>
    <w:p w:rsidR="00724009" w:rsidRPr="00AD6F1B" w:rsidRDefault="00B61F02" w:rsidP="00547492">
      <w:pPr>
        <w:pStyle w:val="Heading4"/>
        <w:spacing w:line="360" w:lineRule="auto"/>
      </w:pPr>
      <w:r>
        <w:t>C</w:t>
      </w:r>
      <w:r w:rsidR="00724009">
        <w:t>ompetitors</w:t>
      </w:r>
    </w:p>
    <w:p w:rsidR="00724009" w:rsidRDefault="00B61F02" w:rsidP="00547492">
      <w:pPr>
        <w:pStyle w:val="ListParagraph"/>
        <w:numPr>
          <w:ilvl w:val="0"/>
          <w:numId w:val="22"/>
        </w:numPr>
        <w:spacing w:line="360" w:lineRule="auto"/>
      </w:pPr>
      <w:r>
        <w:t>2 B</w:t>
      </w:r>
      <w:r w:rsidR="00724009">
        <w:t>randed competitors focus on price</w:t>
      </w:r>
    </w:p>
    <w:p w:rsidR="00724009" w:rsidRDefault="00724009" w:rsidP="00547492">
      <w:pPr>
        <w:pStyle w:val="ListParagraph"/>
        <w:numPr>
          <w:ilvl w:val="0"/>
          <w:numId w:val="22"/>
        </w:numPr>
        <w:spacing w:line="360" w:lineRule="auto"/>
      </w:pPr>
      <w:r>
        <w:t>Non-branded competitors successful because of locality and community relationships</w:t>
      </w:r>
    </w:p>
    <w:p w:rsidR="00724009" w:rsidRPr="005531DE" w:rsidRDefault="00724009" w:rsidP="00547492">
      <w:pPr>
        <w:spacing w:line="360" w:lineRule="auto"/>
      </w:pPr>
    </w:p>
    <w:p w:rsidR="00B833DD" w:rsidRPr="00AD6F1B" w:rsidRDefault="00B833DD" w:rsidP="00547492">
      <w:pPr>
        <w:pStyle w:val="Heading4"/>
        <w:spacing w:line="360" w:lineRule="auto"/>
      </w:pPr>
      <w:r w:rsidRPr="00AD6F1B">
        <w:t>Ethical Factors</w:t>
      </w:r>
    </w:p>
    <w:p w:rsidR="00642146" w:rsidRDefault="00642146" w:rsidP="00547492">
      <w:pPr>
        <w:spacing w:line="360" w:lineRule="auto"/>
      </w:pPr>
      <w:r>
        <w:t xml:space="preserve">Stakeholders: Firms, Customers, </w:t>
      </w:r>
      <w:r w:rsidR="00CF0027">
        <w:t>Government</w:t>
      </w:r>
    </w:p>
    <w:p w:rsidR="00B833DD" w:rsidRDefault="00A87AA2" w:rsidP="00547492">
      <w:pPr>
        <w:pStyle w:val="ListParagraph"/>
        <w:numPr>
          <w:ilvl w:val="0"/>
          <w:numId w:val="20"/>
        </w:numPr>
        <w:spacing w:line="360" w:lineRule="auto"/>
      </w:pPr>
      <w:r>
        <w:t xml:space="preserve">Many customers belong to lower income segment of the population, firms need to balance profit goals </w:t>
      </w:r>
      <w:r w:rsidR="00B61F02">
        <w:t>with social responsibility</w:t>
      </w:r>
    </w:p>
    <w:p w:rsidR="00642146" w:rsidRDefault="00642146" w:rsidP="00547492">
      <w:pPr>
        <w:pStyle w:val="ListParagraph"/>
        <w:numPr>
          <w:ilvl w:val="0"/>
          <w:numId w:val="20"/>
        </w:numPr>
        <w:spacing w:line="360" w:lineRule="auto"/>
      </w:pPr>
      <w:r>
        <w:t xml:space="preserve">Firm’s focus on increasing customer’s return has the adverse effect of reducing government revenues. </w:t>
      </w:r>
    </w:p>
    <w:p w:rsidR="00E70D84" w:rsidRDefault="00E70D84" w:rsidP="00547492">
      <w:pPr>
        <w:spacing w:line="360" w:lineRule="auto"/>
      </w:pPr>
    </w:p>
    <w:p w:rsidR="00E564F6" w:rsidRDefault="00E70D84" w:rsidP="00547492">
      <w:pPr>
        <w:pStyle w:val="Heading2"/>
        <w:spacing w:line="360" w:lineRule="auto"/>
      </w:pPr>
      <w:r>
        <w:t>Alternative Financing Services (AFS)</w:t>
      </w:r>
    </w:p>
    <w:p w:rsidR="00E564F6" w:rsidRPr="00AD6F1B" w:rsidRDefault="00B61F02" w:rsidP="00547492">
      <w:pPr>
        <w:pStyle w:val="Heading4"/>
        <w:spacing w:line="360" w:lineRule="auto"/>
      </w:pPr>
      <w:r>
        <w:t>Structure</w:t>
      </w:r>
    </w:p>
    <w:p w:rsidR="00C97E4E" w:rsidRDefault="00C97E4E" w:rsidP="00547492">
      <w:pPr>
        <w:spacing w:line="360" w:lineRule="auto"/>
      </w:pPr>
      <w:r>
        <w:t>Check cashing:</w:t>
      </w:r>
    </w:p>
    <w:p w:rsidR="00C97E4E" w:rsidRDefault="00C97E4E" w:rsidP="00547492">
      <w:pPr>
        <w:pStyle w:val="ListParagraph"/>
        <w:numPr>
          <w:ilvl w:val="0"/>
          <w:numId w:val="23"/>
        </w:numPr>
        <w:spacing w:line="360" w:lineRule="auto"/>
      </w:pPr>
      <w:r>
        <w:t>10,000 outlets in the US, processing 180M checks for 1.9B% in fees</w:t>
      </w:r>
    </w:p>
    <w:p w:rsidR="00C97E4E" w:rsidRDefault="00B61F02" w:rsidP="00547492">
      <w:pPr>
        <w:pStyle w:val="ListParagraph"/>
        <w:numPr>
          <w:ilvl w:val="0"/>
          <w:numId w:val="23"/>
        </w:numPr>
        <w:spacing w:line="360" w:lineRule="auto"/>
      </w:pPr>
      <w:r>
        <w:t>H</w:t>
      </w:r>
      <w:r w:rsidR="00C97E4E">
        <w:t>ighly fragmented industry; largest player is ACE with 12% market share</w:t>
      </w:r>
    </w:p>
    <w:p w:rsidR="00C97E4E" w:rsidRDefault="00C97E4E" w:rsidP="00547492">
      <w:pPr>
        <w:pStyle w:val="ListParagraph"/>
        <w:numPr>
          <w:ilvl w:val="0"/>
          <w:numId w:val="23"/>
        </w:numPr>
        <w:spacing w:line="360" w:lineRule="auto"/>
      </w:pPr>
      <w:r>
        <w:lastRenderedPageBreak/>
        <w:t xml:space="preserve">Walmart is entering the industry, which should </w:t>
      </w:r>
      <w:r w:rsidR="00B61F02">
        <w:t>put downwards</w:t>
      </w:r>
      <w:r>
        <w:t xml:space="preserve"> </w:t>
      </w:r>
      <w:r w:rsidR="00B61F02">
        <w:t>price pressure</w:t>
      </w:r>
      <w:r>
        <w:t xml:space="preserve"> on prices</w:t>
      </w:r>
    </w:p>
    <w:p w:rsidR="00C97E4E" w:rsidRDefault="00C97E4E" w:rsidP="00547492">
      <w:pPr>
        <w:spacing w:line="360" w:lineRule="auto"/>
      </w:pPr>
      <w:r>
        <w:t>Wire Transfer:</w:t>
      </w:r>
    </w:p>
    <w:p w:rsidR="00C97E4E" w:rsidRDefault="00B61F02" w:rsidP="00547492">
      <w:pPr>
        <w:pStyle w:val="ListParagraph"/>
        <w:numPr>
          <w:ilvl w:val="0"/>
          <w:numId w:val="25"/>
        </w:numPr>
        <w:spacing w:line="360" w:lineRule="auto"/>
      </w:pPr>
      <w:r>
        <w:t>Oligopoly</w:t>
      </w:r>
      <w:r w:rsidR="00C97E4E">
        <w:t xml:space="preserve">, WU </w:t>
      </w:r>
      <w:r>
        <w:t>@</w:t>
      </w:r>
      <w:r w:rsidR="00C97E4E">
        <w:t xml:space="preserve">75% market share, MoneyGram </w:t>
      </w:r>
      <w:r>
        <w:t>@</w:t>
      </w:r>
      <w:r w:rsidR="00C97E4E">
        <w:t>15%</w:t>
      </w:r>
    </w:p>
    <w:p w:rsidR="00C97E4E" w:rsidRDefault="00B61F02" w:rsidP="00B61F02">
      <w:pPr>
        <w:pStyle w:val="ListParagraph"/>
        <w:numPr>
          <w:ilvl w:val="0"/>
          <w:numId w:val="25"/>
        </w:numPr>
        <w:spacing w:line="360" w:lineRule="auto"/>
      </w:pPr>
      <w:r>
        <w:t xml:space="preserve">2001 revenues: 1B$, </w:t>
      </w:r>
      <w:r w:rsidR="00C97E4E">
        <w:t>margins</w:t>
      </w:r>
      <w:r>
        <w:t>:</w:t>
      </w:r>
      <w:r w:rsidR="00C97E4E">
        <w:t xml:space="preserve"> 33%</w:t>
      </w:r>
      <w:r>
        <w:t xml:space="preserve">, expected CAGR </w:t>
      </w:r>
      <w:r w:rsidR="00C97E4E">
        <w:t>15%</w:t>
      </w:r>
    </w:p>
    <w:p w:rsidR="00C97E4E" w:rsidRDefault="00C97E4E" w:rsidP="00547492">
      <w:pPr>
        <w:spacing w:line="360" w:lineRule="auto"/>
      </w:pPr>
      <w:r>
        <w:t>Money Orders:</w:t>
      </w:r>
    </w:p>
    <w:p w:rsidR="00C97E4E" w:rsidRDefault="00C97E4E" w:rsidP="00547492">
      <w:pPr>
        <w:pStyle w:val="ListParagraph"/>
        <w:numPr>
          <w:ilvl w:val="0"/>
          <w:numId w:val="26"/>
        </w:numPr>
        <w:spacing w:line="360" w:lineRule="auto"/>
      </w:pPr>
      <w:r>
        <w:t xml:space="preserve">Concentrated market: Travelers </w:t>
      </w:r>
      <w:proofErr w:type="spellStart"/>
      <w:r>
        <w:t>Express&amp;First</w:t>
      </w:r>
      <w:proofErr w:type="spellEnd"/>
      <w:r>
        <w:t xml:space="preserve"> Data </w:t>
      </w:r>
      <w:r w:rsidR="00B61F02">
        <w:t xml:space="preserve">share </w:t>
      </w:r>
      <w:r>
        <w:t>50% market, USPS 22%</w:t>
      </w:r>
    </w:p>
    <w:p w:rsidR="00C97E4E" w:rsidRDefault="00C97E4E" w:rsidP="00547492">
      <w:pPr>
        <w:pStyle w:val="ListParagraph"/>
        <w:numPr>
          <w:ilvl w:val="0"/>
          <w:numId w:val="26"/>
        </w:numPr>
        <w:spacing w:line="360" w:lineRule="auto"/>
      </w:pPr>
      <w:r>
        <w:t>Total revenues: 1B$, growth 5.1%</w:t>
      </w:r>
    </w:p>
    <w:p w:rsidR="00C97E4E" w:rsidRDefault="00C97E4E" w:rsidP="00547492">
      <w:pPr>
        <w:spacing w:line="360" w:lineRule="auto"/>
      </w:pPr>
      <w:r>
        <w:t>Bill payment, ATMS, Unsecured lending:</w:t>
      </w:r>
    </w:p>
    <w:p w:rsidR="00C97E4E" w:rsidRDefault="00F46039" w:rsidP="00547492">
      <w:pPr>
        <w:pStyle w:val="ListParagraph"/>
        <w:numPr>
          <w:ilvl w:val="0"/>
          <w:numId w:val="27"/>
        </w:numPr>
        <w:spacing w:line="360" w:lineRule="auto"/>
      </w:pPr>
      <w:r>
        <w:t>Growth 17.6%</w:t>
      </w:r>
      <w:r w:rsidR="00B61F02">
        <w:t>, 2.6B payments valued at $1.6T</w:t>
      </w:r>
    </w:p>
    <w:p w:rsidR="00F46039" w:rsidRDefault="00F46039" w:rsidP="00547492">
      <w:pPr>
        <w:pStyle w:val="ListParagraph"/>
        <w:numPr>
          <w:ilvl w:val="0"/>
          <w:numId w:val="27"/>
        </w:numPr>
        <w:spacing w:line="360" w:lineRule="auto"/>
      </w:pPr>
      <w:r>
        <w:t>324,000 ATMs, 263M cards, 1.36B Transactions</w:t>
      </w:r>
    </w:p>
    <w:p w:rsidR="00C97E4E" w:rsidRDefault="00C97E4E" w:rsidP="00547492">
      <w:pPr>
        <w:spacing w:line="360" w:lineRule="auto"/>
      </w:pPr>
      <w:r>
        <w:t>Payday Lending</w:t>
      </w:r>
      <w:r w:rsidR="00F46039">
        <w:t>:</w:t>
      </w:r>
    </w:p>
    <w:p w:rsidR="00F46039" w:rsidRDefault="00F46039" w:rsidP="00547492">
      <w:pPr>
        <w:pStyle w:val="ListParagraph"/>
        <w:numPr>
          <w:ilvl w:val="0"/>
          <w:numId w:val="28"/>
        </w:numPr>
        <w:spacing w:line="360" w:lineRule="auto"/>
      </w:pPr>
      <w:r>
        <w:t>By 2000, 65M loans</w:t>
      </w:r>
      <w:r w:rsidR="00B61F02">
        <w:t xml:space="preserve">, </w:t>
      </w:r>
      <w:r>
        <w:t>2B$ revenues</w:t>
      </w:r>
    </w:p>
    <w:p w:rsidR="00F46039" w:rsidRDefault="00F46039" w:rsidP="00547492">
      <w:pPr>
        <w:pStyle w:val="ListParagraph"/>
        <w:numPr>
          <w:ilvl w:val="0"/>
          <w:numId w:val="28"/>
        </w:numPr>
        <w:spacing w:line="360" w:lineRule="auto"/>
      </w:pPr>
      <w:r>
        <w:t>Typical fee 15$/2 week loan; 390% APR</w:t>
      </w:r>
    </w:p>
    <w:p w:rsidR="00E564F6" w:rsidRDefault="00E564F6" w:rsidP="00547492">
      <w:pPr>
        <w:pStyle w:val="Heading4"/>
        <w:spacing w:line="360" w:lineRule="auto"/>
      </w:pPr>
      <w:r>
        <w:t>Economics</w:t>
      </w:r>
    </w:p>
    <w:p w:rsidR="004E4653" w:rsidRDefault="00B61F02" w:rsidP="00547492">
      <w:pPr>
        <w:pStyle w:val="ListParagraph"/>
        <w:numPr>
          <w:ilvl w:val="0"/>
          <w:numId w:val="23"/>
        </w:numPr>
        <w:spacing w:line="360" w:lineRule="auto"/>
      </w:pPr>
      <w:r>
        <w:t>6.4B$ industry</w:t>
      </w:r>
      <w:r w:rsidR="004E4653">
        <w:t>, expected grow</w:t>
      </w:r>
      <w:r>
        <w:t>th: 10%, pre-tax margins: 34%</w:t>
      </w:r>
    </w:p>
    <w:p w:rsidR="00E564F6" w:rsidRDefault="00B61F02" w:rsidP="00547492">
      <w:pPr>
        <w:pStyle w:val="ListParagraph"/>
        <w:numPr>
          <w:ilvl w:val="0"/>
          <w:numId w:val="23"/>
        </w:numPr>
        <w:spacing w:line="360" w:lineRule="auto"/>
      </w:pPr>
      <w:r>
        <w:t xml:space="preserve">Customers average spend on AFS: </w:t>
      </w:r>
      <w:r w:rsidR="004E4653">
        <w:t>$1000/</w:t>
      </w:r>
      <w:proofErr w:type="spellStart"/>
      <w:r w:rsidR="004E4653">
        <w:t>y</w:t>
      </w:r>
      <w:r>
        <w:t>r</w:t>
      </w:r>
      <w:proofErr w:type="spellEnd"/>
      <w:r>
        <w:t xml:space="preserve"> (</w:t>
      </w:r>
      <w:r w:rsidR="004E4653">
        <w:t>3.3% of income</w:t>
      </w:r>
      <w:r>
        <w:t>)</w:t>
      </w:r>
    </w:p>
    <w:p w:rsidR="00E70D84" w:rsidRDefault="00B61F02" w:rsidP="00547492">
      <w:pPr>
        <w:pStyle w:val="Heading4"/>
        <w:spacing w:line="360" w:lineRule="auto"/>
      </w:pPr>
      <w:r>
        <w:t>KSF</w:t>
      </w:r>
    </w:p>
    <w:p w:rsidR="00C97E4E" w:rsidRDefault="00683D18" w:rsidP="00547492">
      <w:pPr>
        <w:pStyle w:val="ListParagraph"/>
        <w:numPr>
          <w:ilvl w:val="0"/>
          <w:numId w:val="24"/>
        </w:numPr>
        <w:spacing w:line="360" w:lineRule="auto"/>
      </w:pPr>
      <w:r>
        <w:t>Efficient operations</w:t>
      </w:r>
    </w:p>
    <w:p w:rsidR="00C97E4E" w:rsidRPr="00C97E4E" w:rsidRDefault="00683D18" w:rsidP="00547492">
      <w:pPr>
        <w:pStyle w:val="ListParagraph"/>
        <w:numPr>
          <w:ilvl w:val="0"/>
          <w:numId w:val="24"/>
        </w:numPr>
        <w:spacing w:line="360" w:lineRule="auto"/>
      </w:pPr>
      <w:r>
        <w:t>Multiple location</w:t>
      </w:r>
    </w:p>
    <w:p w:rsidR="00E564F6" w:rsidRDefault="00E564F6" w:rsidP="00547492">
      <w:pPr>
        <w:spacing w:line="360" w:lineRule="auto"/>
      </w:pPr>
    </w:p>
    <w:p w:rsidR="00E70D84" w:rsidRDefault="00E70D84" w:rsidP="00547492">
      <w:pPr>
        <w:pStyle w:val="Heading4"/>
        <w:spacing w:line="360" w:lineRule="auto"/>
      </w:pPr>
      <w:r w:rsidRPr="00AD6F1B">
        <w:t>Competitive Situation</w:t>
      </w:r>
    </w:p>
    <w:p w:rsidR="00642146" w:rsidRDefault="00642146" w:rsidP="00547492">
      <w:pPr>
        <w:spacing w:line="360" w:lineRule="auto"/>
      </w:pPr>
      <w:r>
        <w:t xml:space="preserve">Rivalry: </w:t>
      </w:r>
      <w:r w:rsidR="00683D18">
        <w:t>High</w:t>
      </w:r>
    </w:p>
    <w:p w:rsidR="00642146" w:rsidRDefault="00D61ADE" w:rsidP="00547492">
      <w:pPr>
        <w:spacing w:line="360" w:lineRule="auto"/>
      </w:pPr>
      <w:r>
        <w:t>N</w:t>
      </w:r>
      <w:r w:rsidR="00642146">
        <w:t xml:space="preserve">ew entrants: </w:t>
      </w:r>
      <w:r>
        <w:t>High</w:t>
      </w:r>
    </w:p>
    <w:p w:rsidR="00642146" w:rsidRDefault="00D61ADE" w:rsidP="00547492">
      <w:pPr>
        <w:pStyle w:val="ListParagraph"/>
        <w:numPr>
          <w:ilvl w:val="0"/>
          <w:numId w:val="31"/>
        </w:numPr>
        <w:spacing w:line="360" w:lineRule="auto"/>
      </w:pPr>
      <w:r>
        <w:t>L</w:t>
      </w:r>
      <w:r w:rsidR="00683D18">
        <w:t>ittle setup cost required</w:t>
      </w:r>
      <w:r>
        <w:t>,</w:t>
      </w:r>
      <w:r w:rsidR="00683D18">
        <w:t xml:space="preserve"> much less regulated than for traditional financial services </w:t>
      </w:r>
    </w:p>
    <w:p w:rsidR="00642146" w:rsidRDefault="00D61ADE" w:rsidP="00547492">
      <w:pPr>
        <w:spacing w:line="360" w:lineRule="auto"/>
      </w:pPr>
      <w:r>
        <w:t>S</w:t>
      </w:r>
      <w:r w:rsidR="00642146">
        <w:t>ubstitutes:</w:t>
      </w:r>
      <w:r w:rsidR="00683D18">
        <w:t xml:space="preserve"> High</w:t>
      </w:r>
      <w:r w:rsidR="00642146">
        <w:t xml:space="preserve"> </w:t>
      </w:r>
    </w:p>
    <w:p w:rsidR="00D61ADE" w:rsidRDefault="00683D18" w:rsidP="006D5DBF">
      <w:pPr>
        <w:pStyle w:val="ListParagraph"/>
        <w:numPr>
          <w:ilvl w:val="0"/>
          <w:numId w:val="31"/>
        </w:numPr>
        <w:spacing w:line="360" w:lineRule="auto"/>
      </w:pPr>
      <w:r>
        <w:t xml:space="preserve">Traditional FIs </w:t>
      </w:r>
      <w:r w:rsidR="00D61ADE">
        <w:t>charging more reasonable rates</w:t>
      </w:r>
    </w:p>
    <w:p w:rsidR="00642146" w:rsidRDefault="00642146" w:rsidP="00D61ADE">
      <w:pPr>
        <w:spacing w:line="360" w:lineRule="auto"/>
      </w:pPr>
      <w:r>
        <w:t xml:space="preserve">Power of suppliers: </w:t>
      </w:r>
      <w:r w:rsidR="00683D18">
        <w:t>N/A</w:t>
      </w:r>
    </w:p>
    <w:p w:rsidR="00642146" w:rsidRDefault="00642146" w:rsidP="00547492">
      <w:pPr>
        <w:spacing w:line="360" w:lineRule="auto"/>
      </w:pPr>
      <w:r>
        <w:t xml:space="preserve">Power of customers: </w:t>
      </w:r>
      <w:r w:rsidR="00683D18">
        <w:t>Low</w:t>
      </w:r>
    </w:p>
    <w:p w:rsidR="00642146" w:rsidRDefault="00D61ADE" w:rsidP="00705672">
      <w:pPr>
        <w:pStyle w:val="ListParagraph"/>
        <w:numPr>
          <w:ilvl w:val="0"/>
          <w:numId w:val="32"/>
        </w:numPr>
        <w:spacing w:line="360" w:lineRule="auto"/>
      </w:pPr>
      <w:r>
        <w:t>Less educated, less means to switch provider</w:t>
      </w:r>
    </w:p>
    <w:p w:rsidR="00D61ADE" w:rsidRDefault="00D61ADE" w:rsidP="00547492">
      <w:pPr>
        <w:spacing w:line="360" w:lineRule="auto"/>
      </w:pPr>
    </w:p>
    <w:p w:rsidR="00683D18" w:rsidRDefault="00683D18" w:rsidP="00547492">
      <w:pPr>
        <w:spacing w:line="360" w:lineRule="auto"/>
      </w:pPr>
      <w:r>
        <w:t xml:space="preserve">Overall, the AFS </w:t>
      </w:r>
      <w:r w:rsidR="00D61ADE">
        <w:t xml:space="preserve">is not </w:t>
      </w:r>
      <w:r>
        <w:t>an attractive industry.</w:t>
      </w:r>
    </w:p>
    <w:p w:rsidR="00683D18" w:rsidRDefault="00683D18" w:rsidP="00547492">
      <w:pPr>
        <w:spacing w:line="360" w:lineRule="auto"/>
      </w:pPr>
    </w:p>
    <w:p w:rsidR="00642146" w:rsidRPr="00AD6F1B" w:rsidRDefault="00642146" w:rsidP="00547492">
      <w:pPr>
        <w:pStyle w:val="Heading4"/>
        <w:spacing w:line="360" w:lineRule="auto"/>
      </w:pPr>
      <w:r>
        <w:lastRenderedPageBreak/>
        <w:t>Competitive approach of competitors</w:t>
      </w:r>
    </w:p>
    <w:p w:rsidR="00683D18" w:rsidRDefault="00683D18" w:rsidP="00547492">
      <w:pPr>
        <w:pStyle w:val="ListParagraph"/>
        <w:numPr>
          <w:ilvl w:val="0"/>
          <w:numId w:val="24"/>
        </w:numPr>
        <w:spacing w:line="360" w:lineRule="auto"/>
      </w:pPr>
      <w:r>
        <w:t>Competitive pricing</w:t>
      </w:r>
    </w:p>
    <w:p w:rsidR="00642146" w:rsidRPr="00642146" w:rsidRDefault="00683D18" w:rsidP="00EC1EBD">
      <w:pPr>
        <w:pStyle w:val="ListParagraph"/>
        <w:numPr>
          <w:ilvl w:val="0"/>
          <w:numId w:val="24"/>
        </w:numPr>
        <w:spacing w:line="360" w:lineRule="auto"/>
      </w:pPr>
      <w:r>
        <w:t>Convenient loca</w:t>
      </w:r>
      <w:r w:rsidR="00D61ADE">
        <w:t>tions</w:t>
      </w:r>
    </w:p>
    <w:p w:rsidR="00E70D84" w:rsidRPr="00AD6F1B" w:rsidRDefault="00E70D84" w:rsidP="00547492">
      <w:pPr>
        <w:pStyle w:val="Heading4"/>
        <w:spacing w:line="360" w:lineRule="auto"/>
      </w:pPr>
      <w:r w:rsidRPr="00AD6F1B">
        <w:t>Ethical Factors</w:t>
      </w:r>
    </w:p>
    <w:p w:rsidR="00E70D84" w:rsidRDefault="00683D18" w:rsidP="00547492">
      <w:pPr>
        <w:pStyle w:val="ListParagraph"/>
        <w:numPr>
          <w:ilvl w:val="0"/>
          <w:numId w:val="33"/>
        </w:numPr>
        <w:spacing w:line="360" w:lineRule="auto"/>
      </w:pPr>
      <w:r>
        <w:t xml:space="preserve">By charging higher fees than typical FIs, </w:t>
      </w:r>
      <w:r w:rsidR="00D61ADE">
        <w:t>industry players</w:t>
      </w:r>
      <w:r>
        <w:t xml:space="preserve"> take advantage of low</w:t>
      </w:r>
      <w:r w:rsidR="00D61ADE">
        <w:t>er</w:t>
      </w:r>
      <w:r>
        <w:t xml:space="preserve"> income people</w:t>
      </w:r>
    </w:p>
    <w:p w:rsidR="00683D18" w:rsidRDefault="00D61ADE" w:rsidP="00547492">
      <w:pPr>
        <w:pStyle w:val="ListParagraph"/>
        <w:numPr>
          <w:ilvl w:val="0"/>
          <w:numId w:val="33"/>
        </w:numPr>
        <w:spacing w:line="360" w:lineRule="auto"/>
      </w:pPr>
      <w:r>
        <w:t xml:space="preserve">Potential </w:t>
      </w:r>
      <w:r w:rsidR="00683D18">
        <w:t>adverse effect of locking people into poverty cycle</w:t>
      </w:r>
    </w:p>
    <w:p w:rsidR="0004189D" w:rsidRDefault="0004189D" w:rsidP="0004189D">
      <w:pPr>
        <w:spacing w:line="360" w:lineRule="auto"/>
      </w:pPr>
    </w:p>
    <w:p w:rsidR="0004189D" w:rsidRDefault="0004189D" w:rsidP="0004189D">
      <w:pPr>
        <w:spacing w:line="360" w:lineRule="auto"/>
      </w:pPr>
    </w:p>
    <w:p w:rsidR="00B833DD" w:rsidRPr="00AD6F1B" w:rsidRDefault="00B833DD" w:rsidP="00547492">
      <w:pPr>
        <w:pStyle w:val="Heading1"/>
        <w:spacing w:line="360" w:lineRule="auto"/>
      </w:pPr>
      <w:r w:rsidRPr="00AD6F1B">
        <w:t>Internal Analysis</w:t>
      </w:r>
    </w:p>
    <w:p w:rsidR="000F3F46" w:rsidRPr="00AD6F1B" w:rsidRDefault="00B833DD" w:rsidP="00547492">
      <w:pPr>
        <w:pStyle w:val="Heading2"/>
        <w:spacing w:line="360" w:lineRule="auto"/>
      </w:pPr>
      <w:r w:rsidRPr="00AD6F1B">
        <w:t>Financial Analysis</w:t>
      </w:r>
    </w:p>
    <w:p w:rsidR="00642146" w:rsidRDefault="00642146" w:rsidP="00547492">
      <w:pPr>
        <w:pStyle w:val="Heading4"/>
        <w:spacing w:line="360" w:lineRule="auto"/>
      </w:pPr>
      <w:r>
        <w:t>Tax preparation services:</w:t>
      </w:r>
    </w:p>
    <w:p w:rsidR="00C026B4" w:rsidRPr="00AD6F1B" w:rsidRDefault="00C026B4" w:rsidP="00547492">
      <w:pPr>
        <w:pStyle w:val="ListParagraph"/>
        <w:numPr>
          <w:ilvl w:val="0"/>
          <w:numId w:val="7"/>
        </w:numPr>
        <w:spacing w:line="360" w:lineRule="auto"/>
      </w:pPr>
      <w:r w:rsidRPr="00AD6F1B">
        <w:t>Spending annually 115M$ in marketing t</w:t>
      </w:r>
      <w:r w:rsidR="00D61ADE">
        <w:t>o replace 5M departing clients</w:t>
      </w:r>
    </w:p>
    <w:p w:rsidR="00C026B4" w:rsidRDefault="00C026B4" w:rsidP="00547492">
      <w:pPr>
        <w:pStyle w:val="ListParagraph"/>
        <w:numPr>
          <w:ilvl w:val="0"/>
          <w:numId w:val="7"/>
        </w:numPr>
        <w:spacing w:line="360" w:lineRule="auto"/>
      </w:pPr>
      <w:r w:rsidRPr="00AD6F1B">
        <w:t xml:space="preserve">Cost of incremental clients: 130$, estimated to grow at </w:t>
      </w:r>
      <w:r w:rsidR="00C533B2" w:rsidRPr="00AD6F1B">
        <w:t>CAGR 20-25%. With annual ARPU of 149$</w:t>
      </w:r>
      <w:r w:rsidR="00A87AA2">
        <w:t xml:space="preserve"> this business model might not be sustainable</w:t>
      </w:r>
      <w:r w:rsidRPr="00AD6F1B">
        <w:t xml:space="preserve"> </w:t>
      </w:r>
    </w:p>
    <w:p w:rsidR="00642146" w:rsidRDefault="00D61ADE" w:rsidP="00547492">
      <w:pPr>
        <w:pStyle w:val="Heading4"/>
        <w:spacing w:line="360" w:lineRule="auto"/>
      </w:pPr>
      <w:r>
        <w:t>AFS</w:t>
      </w:r>
    </w:p>
    <w:p w:rsidR="00642146" w:rsidRDefault="00642146" w:rsidP="00547492">
      <w:pPr>
        <w:pStyle w:val="ListParagraph"/>
        <w:numPr>
          <w:ilvl w:val="0"/>
          <w:numId w:val="7"/>
        </w:numPr>
        <w:spacing w:line="360" w:lineRule="auto"/>
      </w:pPr>
      <w:r>
        <w:t xml:space="preserve">Customers paid 1B$ in fees to convert </w:t>
      </w:r>
      <w:r w:rsidR="004E4653">
        <w:t>refunds to currency out of</w:t>
      </w:r>
      <w:r w:rsidR="00846992">
        <w:t xml:space="preserve"> 29.1B$ in returns (3%)</w:t>
      </w:r>
    </w:p>
    <w:p w:rsidR="004E4653" w:rsidRDefault="004E4653" w:rsidP="00846992">
      <w:pPr>
        <w:pStyle w:val="ListParagraph"/>
        <w:numPr>
          <w:ilvl w:val="0"/>
          <w:numId w:val="7"/>
        </w:numPr>
        <w:spacing w:line="360" w:lineRule="auto"/>
      </w:pPr>
      <w:r>
        <w:t>Revenues from refund related services:</w:t>
      </w:r>
      <w:r w:rsidR="00846992">
        <w:t xml:space="preserve"> </w:t>
      </w:r>
      <w:r w:rsidRPr="00AD6F1B">
        <w:t>500M$</w:t>
      </w:r>
      <w:r w:rsidR="00846992">
        <w:t xml:space="preserve">, </w:t>
      </w:r>
      <w:r w:rsidRPr="00AD6F1B">
        <w:t xml:space="preserve">100$/customer </w:t>
      </w:r>
      <w:r w:rsidR="00846992">
        <w:t>(</w:t>
      </w:r>
      <w:r w:rsidRPr="00AD6F1B">
        <w:t>5% average refund</w:t>
      </w:r>
      <w:r w:rsidR="00846992">
        <w:t>)</w:t>
      </w:r>
    </w:p>
    <w:p w:rsidR="004E4653" w:rsidRPr="00AD6F1B" w:rsidRDefault="0023107F" w:rsidP="00547492">
      <w:pPr>
        <w:pStyle w:val="ListParagraph"/>
        <w:numPr>
          <w:ilvl w:val="0"/>
          <w:numId w:val="7"/>
        </w:numPr>
        <w:spacing w:line="360" w:lineRule="auto"/>
      </w:pPr>
      <w:r>
        <w:t xml:space="preserve">EFS center could bring in 197-267k$ in revenues </w:t>
      </w:r>
      <w:r w:rsidR="00846992">
        <w:t>with</w:t>
      </w:r>
      <w:r>
        <w:t xml:space="preserve"> 20% margins</w:t>
      </w:r>
    </w:p>
    <w:p w:rsidR="00642146" w:rsidRDefault="00642146" w:rsidP="00547492">
      <w:pPr>
        <w:pStyle w:val="ListParagraph"/>
        <w:numPr>
          <w:ilvl w:val="0"/>
          <w:numId w:val="7"/>
        </w:numPr>
        <w:spacing w:line="360" w:lineRule="auto"/>
      </w:pPr>
      <w:r w:rsidRPr="00AD6F1B">
        <w:t>ATMs used to clear checks with ACE partnerships are losing 28k$/year (</w:t>
      </w:r>
      <w:r w:rsidRPr="002468F9">
        <w:rPr>
          <w:b/>
          <w:i/>
        </w:rPr>
        <w:t>see Exhibit B</w:t>
      </w:r>
      <w:r w:rsidR="00DE7660">
        <w:t>), tension is growing</w:t>
      </w:r>
    </w:p>
    <w:p w:rsidR="00B62EF5" w:rsidRDefault="0004189D" w:rsidP="00547492">
      <w:pPr>
        <w:pStyle w:val="ListParagraph"/>
        <w:numPr>
          <w:ilvl w:val="0"/>
          <w:numId w:val="7"/>
        </w:numPr>
        <w:spacing w:line="360" w:lineRule="auto"/>
      </w:pPr>
      <w:r>
        <w:t>21% Growth</w:t>
      </w:r>
      <w:r>
        <w:t xml:space="preserve">, </w:t>
      </w:r>
      <w:r w:rsidRPr="00AD6F1B">
        <w:t>pre-tax margins 28.7%</w:t>
      </w:r>
      <w:r>
        <w:t xml:space="preserve"> (</w:t>
      </w:r>
      <w:r>
        <w:t>lower than industry 34%</w:t>
      </w:r>
      <w:r>
        <w:t xml:space="preserve">). </w:t>
      </w:r>
      <w:r w:rsidR="00B62EF5">
        <w:t xml:space="preserve">Even though roughly 30% of </w:t>
      </w:r>
      <w:r w:rsidR="00846992">
        <w:t xml:space="preserve">Block </w:t>
      </w:r>
      <w:r w:rsidR="00B62EF5">
        <w:t xml:space="preserve">customers use RALs, </w:t>
      </w:r>
      <w:r w:rsidR="00846992">
        <w:t xml:space="preserve">AFS </w:t>
      </w:r>
      <w:r w:rsidR="00B62EF5">
        <w:t>only account for 6% of H&amp;R Block’s total revenues:</w:t>
      </w:r>
    </w:p>
    <w:p w:rsidR="00B62EF5" w:rsidRDefault="00B62EF5" w:rsidP="00547492">
      <w:pPr>
        <w:pStyle w:val="ListParagraph"/>
        <w:spacing w:line="360" w:lineRule="auto"/>
        <w:jc w:val="center"/>
      </w:pPr>
      <w:r>
        <w:rPr>
          <w:noProof/>
        </w:rPr>
        <w:drawing>
          <wp:inline distT="0" distB="0" distL="0" distR="0" wp14:anchorId="12C0B757" wp14:editId="5129D50C">
            <wp:extent cx="2905125" cy="15525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68F9" w:rsidRPr="00AD6F1B" w:rsidRDefault="00B62EF5" w:rsidP="00846992">
      <w:pPr>
        <w:pStyle w:val="ListParagraph"/>
        <w:numPr>
          <w:ilvl w:val="0"/>
          <w:numId w:val="36"/>
        </w:numPr>
        <w:spacing w:line="360" w:lineRule="auto"/>
      </w:pPr>
      <w:r>
        <w:t xml:space="preserve">Recent EFS experiment is expected to be deployed in 1550 stores, </w:t>
      </w:r>
      <w:r w:rsidR="00EE3666">
        <w:t>generating increased revenues of 305-413K$ and profits of 61-82M$. (Exhibit C).</w:t>
      </w:r>
    </w:p>
    <w:p w:rsidR="00AF420B" w:rsidRPr="00AD6F1B" w:rsidRDefault="00AF420B" w:rsidP="00547492">
      <w:pPr>
        <w:pStyle w:val="Heading4"/>
        <w:spacing w:line="360" w:lineRule="auto"/>
      </w:pPr>
      <w:r w:rsidRPr="00AD6F1B">
        <w:lastRenderedPageBreak/>
        <w:t>Product Mix</w:t>
      </w:r>
    </w:p>
    <w:p w:rsidR="00E761CE" w:rsidRDefault="00E761CE" w:rsidP="00547492">
      <w:pPr>
        <w:spacing w:line="360" w:lineRule="auto"/>
      </w:pPr>
      <w:r>
        <w:t>Revenues</w:t>
      </w:r>
    </w:p>
    <w:p w:rsidR="00DC0F10" w:rsidRPr="00AD6F1B" w:rsidRDefault="00DC0F10" w:rsidP="00547492">
      <w:pPr>
        <w:pStyle w:val="ListParagraph"/>
        <w:numPr>
          <w:ilvl w:val="0"/>
          <w:numId w:val="14"/>
        </w:numPr>
        <w:spacing w:line="360" w:lineRule="auto"/>
      </w:pPr>
      <w:r w:rsidRPr="00AD6F1B">
        <w:t xml:space="preserve">US Tax and Mortgage services </w:t>
      </w:r>
      <w:r w:rsidR="00457A16">
        <w:t xml:space="preserve">represent </w:t>
      </w:r>
      <w:r w:rsidRPr="00AD6F1B">
        <w:t>the largest share of revenues</w:t>
      </w:r>
      <w:r w:rsidR="00457A16">
        <w:t xml:space="preserve"> with </w:t>
      </w:r>
      <w:r w:rsidRPr="00AD6F1B">
        <w:t xml:space="preserve">consistent growth, whereas Corporate Operations and </w:t>
      </w:r>
      <w:r w:rsidR="00457A16">
        <w:t>I</w:t>
      </w:r>
      <w:r w:rsidRPr="00AD6F1B">
        <w:t>nvestment Service</w:t>
      </w:r>
      <w:r w:rsidR="00457A16">
        <w:t>s are generating losses wi</w:t>
      </w:r>
      <w:r w:rsidR="00846992">
        <w:t xml:space="preserve">th revenues trending downwards: </w:t>
      </w:r>
    </w:p>
    <w:p w:rsidR="00C026B4" w:rsidRPr="00AD6F1B" w:rsidRDefault="00457A16" w:rsidP="00547492">
      <w:pPr>
        <w:spacing w:line="360" w:lineRule="auto"/>
      </w:pPr>
      <w:r>
        <w:rPr>
          <w:noProof/>
        </w:rPr>
        <w:drawing>
          <wp:inline distT="0" distB="0" distL="0" distR="0" wp14:anchorId="037FCA54" wp14:editId="0311910B">
            <wp:extent cx="6076950" cy="3076575"/>
            <wp:effectExtent l="0" t="0" r="0" b="9525"/>
            <wp:docPr id="1" name="Chart 1" title="ftyhrh"/>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1B81" w:rsidRDefault="00E761CE" w:rsidP="00547492">
      <w:pPr>
        <w:pStyle w:val="ListParagraph"/>
        <w:numPr>
          <w:ilvl w:val="0"/>
          <w:numId w:val="36"/>
        </w:numPr>
        <w:spacing w:line="360" w:lineRule="auto"/>
      </w:pPr>
      <w:r>
        <w:t>In 2003, combined losses from these 3 business unite were 264M$, almost equivalent to incremental revenues expected from EFS stores</w:t>
      </w:r>
    </w:p>
    <w:p w:rsidR="00E761CE" w:rsidRDefault="00E761CE" w:rsidP="00547492">
      <w:pPr>
        <w:pStyle w:val="Heading4"/>
        <w:spacing w:line="360" w:lineRule="auto"/>
      </w:pPr>
      <w:r>
        <w:t>Asset Allocation</w:t>
      </w:r>
    </w:p>
    <w:p w:rsidR="00846992" w:rsidRDefault="00DC0F10" w:rsidP="00547492">
      <w:pPr>
        <w:pStyle w:val="ListParagraph"/>
        <w:numPr>
          <w:ilvl w:val="0"/>
          <w:numId w:val="14"/>
        </w:numPr>
        <w:spacing w:line="360" w:lineRule="auto"/>
      </w:pPr>
      <w:r w:rsidRPr="00AD6F1B">
        <w:t xml:space="preserve">US Tax and Mortgage services generate the largest </w:t>
      </w:r>
      <w:r w:rsidR="00846992">
        <w:t>ROA</w:t>
      </w:r>
    </w:p>
    <w:p w:rsidR="00DC0F10" w:rsidRPr="00AD6F1B" w:rsidRDefault="00886134" w:rsidP="00547492">
      <w:pPr>
        <w:pStyle w:val="ListParagraph"/>
        <w:numPr>
          <w:ilvl w:val="0"/>
          <w:numId w:val="14"/>
        </w:numPr>
        <w:spacing w:line="360" w:lineRule="auto"/>
      </w:pPr>
      <w:r w:rsidRPr="00AD6F1B">
        <w:t>68% of total assets are used up in operations that are generating losses</w:t>
      </w:r>
    </w:p>
    <w:tbl>
      <w:tblPr>
        <w:tblW w:w="6495" w:type="dxa"/>
        <w:jc w:val="center"/>
        <w:tblCellMar>
          <w:left w:w="70" w:type="dxa"/>
          <w:right w:w="70" w:type="dxa"/>
        </w:tblCellMar>
        <w:tblLook w:val="04A0" w:firstRow="1" w:lastRow="0" w:firstColumn="1" w:lastColumn="0" w:noHBand="0" w:noVBand="1"/>
      </w:tblPr>
      <w:tblGrid>
        <w:gridCol w:w="2820"/>
        <w:gridCol w:w="885"/>
        <w:gridCol w:w="1080"/>
        <w:gridCol w:w="900"/>
        <w:gridCol w:w="810"/>
      </w:tblGrid>
      <w:tr w:rsidR="00DC0F10" w:rsidRPr="00DC0F10" w:rsidTr="00886134">
        <w:trPr>
          <w:trHeight w:val="70"/>
          <w:jc w:val="center"/>
        </w:trPr>
        <w:tc>
          <w:tcPr>
            <w:tcW w:w="2820" w:type="dxa"/>
            <w:tcBorders>
              <w:top w:val="single" w:sz="4" w:space="0" w:color="auto"/>
              <w:left w:val="single" w:sz="4" w:space="0" w:color="auto"/>
              <w:bottom w:val="single" w:sz="4" w:space="0" w:color="auto"/>
              <w:right w:val="single" w:sz="4" w:space="0" w:color="auto"/>
            </w:tcBorders>
            <w:shd w:val="clear" w:color="auto" w:fill="auto"/>
            <w:hideMark/>
          </w:tcPr>
          <w:p w:rsidR="00DC0F10" w:rsidRPr="00886134" w:rsidRDefault="00DC0F10" w:rsidP="00547492">
            <w:pPr>
              <w:spacing w:line="360" w:lineRule="auto"/>
              <w:rPr>
                <w:rFonts w:eastAsia="Times New Roman"/>
                <w:i/>
                <w:lang w:eastAsia="fr-CA"/>
              </w:rPr>
            </w:pPr>
            <w:r w:rsidRPr="00886134">
              <w:rPr>
                <w:rFonts w:eastAsia="Times New Roman"/>
                <w:i/>
                <w:lang w:eastAsia="fr-CA"/>
              </w:rPr>
              <w:t>2003 numbers</w:t>
            </w:r>
          </w:p>
        </w:tc>
        <w:tc>
          <w:tcPr>
            <w:tcW w:w="885" w:type="dxa"/>
            <w:tcBorders>
              <w:top w:val="single" w:sz="4" w:space="0" w:color="auto"/>
              <w:left w:val="nil"/>
              <w:bottom w:val="single" w:sz="4" w:space="0" w:color="auto"/>
              <w:right w:val="single" w:sz="4" w:space="0" w:color="auto"/>
            </w:tcBorders>
            <w:shd w:val="clear" w:color="auto" w:fill="auto"/>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Revenue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Identifiable Assets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 Total Assets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ROA</w:t>
            </w:r>
          </w:p>
        </w:tc>
      </w:tr>
      <w:tr w:rsidR="00DC0F10" w:rsidRPr="00DC0F10" w:rsidTr="00886134">
        <w:trPr>
          <w:trHeight w:val="300"/>
          <w:jc w:val="center"/>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US Tax</w:t>
            </w:r>
          </w:p>
        </w:tc>
        <w:tc>
          <w:tcPr>
            <w:tcW w:w="885"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$547</w:t>
            </w:r>
          </w:p>
        </w:tc>
        <w:tc>
          <w:tcPr>
            <w:tcW w:w="1080"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$281</w:t>
            </w:r>
          </w:p>
        </w:tc>
        <w:tc>
          <w:tcPr>
            <w:tcW w:w="900"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6.1%</w:t>
            </w:r>
          </w:p>
        </w:tc>
        <w:tc>
          <w:tcPr>
            <w:tcW w:w="810"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195%</w:t>
            </w:r>
          </w:p>
        </w:tc>
      </w:tr>
      <w:tr w:rsidR="00DC0F10" w:rsidRPr="00DC0F10" w:rsidTr="00886134">
        <w:trPr>
          <w:trHeight w:val="300"/>
          <w:jc w:val="center"/>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Mortgage</w:t>
            </w:r>
          </w:p>
        </w:tc>
        <w:tc>
          <w:tcPr>
            <w:tcW w:w="885"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$694</w:t>
            </w:r>
          </w:p>
        </w:tc>
        <w:tc>
          <w:tcPr>
            <w:tcW w:w="1080"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$1,157</w:t>
            </w:r>
          </w:p>
        </w:tc>
        <w:tc>
          <w:tcPr>
            <w:tcW w:w="900"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25.1%</w:t>
            </w:r>
          </w:p>
        </w:tc>
        <w:tc>
          <w:tcPr>
            <w:tcW w:w="810"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60%</w:t>
            </w:r>
          </w:p>
        </w:tc>
      </w:tr>
      <w:tr w:rsidR="00DC0F10" w:rsidRPr="00DC0F10" w:rsidTr="00846992">
        <w:trPr>
          <w:trHeight w:val="300"/>
          <w:jc w:val="center"/>
        </w:trPr>
        <w:tc>
          <w:tcPr>
            <w:tcW w:w="2820" w:type="dxa"/>
            <w:tcBorders>
              <w:top w:val="nil"/>
              <w:left w:val="single" w:sz="4" w:space="0" w:color="auto"/>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Business Services</w:t>
            </w:r>
          </w:p>
        </w:tc>
        <w:tc>
          <w:tcPr>
            <w:tcW w:w="885"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-$14</w:t>
            </w:r>
          </w:p>
        </w:tc>
        <w:tc>
          <w:tcPr>
            <w:tcW w:w="1080"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$675</w:t>
            </w:r>
          </w:p>
        </w:tc>
        <w:tc>
          <w:tcPr>
            <w:tcW w:w="900"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14.7%</w:t>
            </w:r>
          </w:p>
        </w:tc>
        <w:tc>
          <w:tcPr>
            <w:tcW w:w="810"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-2%</w:t>
            </w:r>
          </w:p>
        </w:tc>
      </w:tr>
      <w:tr w:rsidR="00DC0F10" w:rsidRPr="00DC0F10" w:rsidTr="00846992">
        <w:trPr>
          <w:trHeight w:val="300"/>
          <w:jc w:val="center"/>
        </w:trPr>
        <w:tc>
          <w:tcPr>
            <w:tcW w:w="2820" w:type="dxa"/>
            <w:tcBorders>
              <w:top w:val="nil"/>
              <w:left w:val="single" w:sz="4" w:space="0" w:color="auto"/>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Investment Services</w:t>
            </w:r>
          </w:p>
        </w:tc>
        <w:tc>
          <w:tcPr>
            <w:tcW w:w="885"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-$128</w:t>
            </w:r>
          </w:p>
        </w:tc>
        <w:tc>
          <w:tcPr>
            <w:tcW w:w="1080"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$1,489</w:t>
            </w:r>
          </w:p>
        </w:tc>
        <w:tc>
          <w:tcPr>
            <w:tcW w:w="900"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32.4%</w:t>
            </w:r>
          </w:p>
        </w:tc>
        <w:tc>
          <w:tcPr>
            <w:tcW w:w="810"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-9%</w:t>
            </w:r>
          </w:p>
        </w:tc>
      </w:tr>
      <w:tr w:rsidR="00DC0F10" w:rsidRPr="00DC0F10" w:rsidTr="00886134">
        <w:trPr>
          <w:trHeight w:val="300"/>
          <w:jc w:val="center"/>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International Tax Operations</w:t>
            </w:r>
          </w:p>
        </w:tc>
        <w:tc>
          <w:tcPr>
            <w:tcW w:w="885"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$10</w:t>
            </w:r>
          </w:p>
        </w:tc>
        <w:tc>
          <w:tcPr>
            <w:tcW w:w="1080"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$33</w:t>
            </w:r>
          </w:p>
        </w:tc>
        <w:tc>
          <w:tcPr>
            <w:tcW w:w="900"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0.7%</w:t>
            </w:r>
          </w:p>
        </w:tc>
        <w:tc>
          <w:tcPr>
            <w:tcW w:w="810" w:type="dxa"/>
            <w:tcBorders>
              <w:top w:val="nil"/>
              <w:left w:val="nil"/>
              <w:bottom w:val="single" w:sz="4" w:space="0" w:color="auto"/>
              <w:right w:val="single" w:sz="4" w:space="0" w:color="auto"/>
            </w:tcBorders>
            <w:shd w:val="clear" w:color="auto" w:fill="auto"/>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30%</w:t>
            </w:r>
          </w:p>
        </w:tc>
      </w:tr>
      <w:tr w:rsidR="00DC0F10" w:rsidRPr="00DC0F10" w:rsidTr="00846992">
        <w:trPr>
          <w:trHeight w:val="300"/>
          <w:jc w:val="center"/>
        </w:trPr>
        <w:tc>
          <w:tcPr>
            <w:tcW w:w="2820" w:type="dxa"/>
            <w:tcBorders>
              <w:top w:val="nil"/>
              <w:left w:val="single" w:sz="4" w:space="0" w:color="auto"/>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Corporate Operations</w:t>
            </w:r>
          </w:p>
        </w:tc>
        <w:tc>
          <w:tcPr>
            <w:tcW w:w="885"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-$122</w:t>
            </w:r>
          </w:p>
        </w:tc>
        <w:tc>
          <w:tcPr>
            <w:tcW w:w="1080"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$967</w:t>
            </w:r>
          </w:p>
        </w:tc>
        <w:tc>
          <w:tcPr>
            <w:tcW w:w="900"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21.0%</w:t>
            </w:r>
          </w:p>
        </w:tc>
        <w:tc>
          <w:tcPr>
            <w:tcW w:w="810" w:type="dxa"/>
            <w:tcBorders>
              <w:top w:val="nil"/>
              <w:left w:val="nil"/>
              <w:bottom w:val="single" w:sz="4" w:space="0" w:color="auto"/>
              <w:right w:val="single" w:sz="4" w:space="0" w:color="auto"/>
            </w:tcBorders>
            <w:shd w:val="clear" w:color="auto" w:fill="F2DBDB" w:themeFill="accent2" w:themeFillTint="33"/>
            <w:noWrap/>
            <w:vAlign w:val="bottom"/>
            <w:hideMark/>
          </w:tcPr>
          <w:p w:rsidR="00DC0F10" w:rsidRPr="00DC0F10" w:rsidRDefault="00DC0F10" w:rsidP="00547492">
            <w:pPr>
              <w:spacing w:line="360" w:lineRule="auto"/>
              <w:rPr>
                <w:rFonts w:eastAsia="Times New Roman"/>
                <w:lang w:eastAsia="fr-CA"/>
              </w:rPr>
            </w:pPr>
            <w:r w:rsidRPr="00DC0F10">
              <w:rPr>
                <w:rFonts w:eastAsia="Times New Roman"/>
                <w:lang w:eastAsia="fr-CA"/>
              </w:rPr>
              <w:t>-13%</w:t>
            </w:r>
          </w:p>
        </w:tc>
      </w:tr>
    </w:tbl>
    <w:p w:rsidR="00174743" w:rsidRPr="00AD6F1B" w:rsidRDefault="00DE7660" w:rsidP="00DE7660">
      <w:pPr>
        <w:pStyle w:val="ListParagraph"/>
        <w:numPr>
          <w:ilvl w:val="0"/>
          <w:numId w:val="47"/>
        </w:numPr>
        <w:spacing w:line="360" w:lineRule="auto"/>
      </w:pPr>
      <w:r w:rsidRPr="00AD6F1B">
        <w:t>Divesti</w:t>
      </w:r>
      <w:r>
        <w:t xml:space="preserve">ture of these 3 BUs </w:t>
      </w:r>
      <w:r w:rsidR="00174743" w:rsidRPr="00AD6F1B">
        <w:t>could free up 3.1B$ of capital which could be re-invested in expanding core products</w:t>
      </w:r>
      <w:r w:rsidR="00E761CE">
        <w:t>, and would generate an increase of income before taxes of 264M$ b</w:t>
      </w:r>
      <w:r>
        <w:t>y</w:t>
      </w:r>
      <w:r w:rsidR="00E761CE">
        <w:t xml:space="preserve"> cutting losses.</w:t>
      </w:r>
    </w:p>
    <w:p w:rsidR="00174743" w:rsidRPr="00AD6F1B" w:rsidRDefault="00174743" w:rsidP="00547492">
      <w:pPr>
        <w:pStyle w:val="ListParagraph"/>
        <w:spacing w:line="360" w:lineRule="auto"/>
      </w:pPr>
    </w:p>
    <w:p w:rsidR="00B833DD" w:rsidRPr="00AD6F1B" w:rsidRDefault="00B833DD" w:rsidP="00547492">
      <w:pPr>
        <w:pStyle w:val="Heading2"/>
        <w:spacing w:line="360" w:lineRule="auto"/>
      </w:pPr>
      <w:r w:rsidRPr="00AD6F1B">
        <w:lastRenderedPageBreak/>
        <w:t>Operations</w:t>
      </w:r>
    </w:p>
    <w:p w:rsidR="001D6161" w:rsidRPr="00AD6F1B" w:rsidRDefault="007F463C" w:rsidP="00547492">
      <w:pPr>
        <w:pStyle w:val="ListParagraph"/>
        <w:numPr>
          <w:ilvl w:val="0"/>
          <w:numId w:val="2"/>
        </w:numPr>
        <w:spacing w:line="360" w:lineRule="auto"/>
      </w:pPr>
      <w:r w:rsidRPr="00AD6F1B">
        <w:t xml:space="preserve">New </w:t>
      </w:r>
      <w:r w:rsidR="00F73782" w:rsidRPr="00AD6F1B">
        <w:t>senior</w:t>
      </w:r>
      <w:r w:rsidRPr="00AD6F1B">
        <w:t xml:space="preserve"> management</w:t>
      </w:r>
      <w:r w:rsidR="00F73782" w:rsidRPr="00AD6F1B">
        <w:t xml:space="preserve"> team</w:t>
      </w:r>
      <w:r w:rsidRPr="00AD6F1B">
        <w:t>, most</w:t>
      </w:r>
      <w:r w:rsidR="00F73782" w:rsidRPr="00AD6F1B">
        <w:t>ly</w:t>
      </w:r>
      <w:r w:rsidRPr="00AD6F1B">
        <w:t xml:space="preserve"> </w:t>
      </w:r>
      <w:r w:rsidR="00F73782" w:rsidRPr="00AD6F1B">
        <w:t xml:space="preserve">recruited </w:t>
      </w:r>
      <w:r w:rsidRPr="00AD6F1B">
        <w:t>from Amex; a lending institution</w:t>
      </w:r>
      <w:r w:rsidR="00DE7660">
        <w:t xml:space="preserve">; </w:t>
      </w:r>
      <w:r w:rsidR="00886134">
        <w:t>could explain recent</w:t>
      </w:r>
      <w:r w:rsidR="00DE7660">
        <w:t xml:space="preserve"> AFS </w:t>
      </w:r>
      <w:r w:rsidR="00886134">
        <w:t>focus</w:t>
      </w:r>
    </w:p>
    <w:p w:rsidR="00C533B2" w:rsidRPr="00AD6F1B" w:rsidRDefault="00C533B2" w:rsidP="00547492">
      <w:pPr>
        <w:pStyle w:val="ListParagraph"/>
        <w:numPr>
          <w:ilvl w:val="0"/>
          <w:numId w:val="2"/>
        </w:numPr>
        <w:spacing w:line="360" w:lineRule="auto"/>
      </w:pPr>
      <w:r w:rsidRPr="00AD6F1B">
        <w:t xml:space="preserve">Opening locations in 550 </w:t>
      </w:r>
      <w:proofErr w:type="spellStart"/>
      <w:r w:rsidR="00DE7660">
        <w:t>Walmarts</w:t>
      </w:r>
      <w:proofErr w:type="spellEnd"/>
      <w:r w:rsidR="00DE7660">
        <w:t xml:space="preserve"> is </w:t>
      </w:r>
      <w:r w:rsidRPr="00AD6F1B">
        <w:t>inconsistent with</w:t>
      </w:r>
      <w:r w:rsidR="00886134">
        <w:t xml:space="preserve"> Block’s</w:t>
      </w:r>
      <w:r w:rsidRPr="00AD6F1B">
        <w:t xml:space="preserve"> </w:t>
      </w:r>
      <w:r w:rsidR="00886134" w:rsidRPr="00AD6F1B">
        <w:t>differentiation</w:t>
      </w:r>
      <w:r w:rsidRPr="00AD6F1B">
        <w:t xml:space="preserve"> strategy and spending on marketing/</w:t>
      </w:r>
      <w:r w:rsidR="00886134" w:rsidRPr="00AD6F1B">
        <w:t>branding</w:t>
      </w:r>
    </w:p>
    <w:p w:rsidR="00F117A7" w:rsidRPr="00AD6F1B" w:rsidRDefault="00F117A7" w:rsidP="00547492">
      <w:pPr>
        <w:pStyle w:val="Heading4"/>
        <w:spacing w:line="360" w:lineRule="auto"/>
      </w:pPr>
      <w:r w:rsidRPr="00AD6F1B">
        <w:t>EFS</w:t>
      </w:r>
    </w:p>
    <w:p w:rsidR="00F46039" w:rsidRDefault="00F46039" w:rsidP="00DE7660">
      <w:pPr>
        <w:pStyle w:val="ListParagraph"/>
        <w:numPr>
          <w:ilvl w:val="0"/>
          <w:numId w:val="29"/>
        </w:numPr>
        <w:spacing w:line="360" w:lineRule="auto"/>
      </w:pPr>
      <w:r>
        <w:t xml:space="preserve">Retrofitting 1,550/4,000 offices near public transit to offer </w:t>
      </w:r>
      <w:r w:rsidR="00DE7660">
        <w:t>AFS @</w:t>
      </w:r>
      <w:r>
        <w:t xml:space="preserve">50% lower costs than </w:t>
      </w:r>
      <w:r w:rsidR="00DE7660">
        <w:t>competition by</w:t>
      </w:r>
      <w:r>
        <w:t xml:space="preserve"> leveraging existing stores and low customer acquisition costs</w:t>
      </w:r>
    </w:p>
    <w:p w:rsidR="00A87AA2" w:rsidRDefault="00A87AA2" w:rsidP="00547492">
      <w:pPr>
        <w:spacing w:line="360" w:lineRule="auto"/>
      </w:pPr>
    </w:p>
    <w:p w:rsidR="00A87AA2" w:rsidRPr="00AD6F1B" w:rsidRDefault="00A87AA2" w:rsidP="00547492">
      <w:pPr>
        <w:pStyle w:val="Heading2"/>
        <w:spacing w:line="360" w:lineRule="auto"/>
      </w:pPr>
      <w:r w:rsidRPr="00AD6F1B">
        <w:t>Competitive Position</w:t>
      </w:r>
    </w:p>
    <w:p w:rsidR="004E4653" w:rsidRDefault="004E4653" w:rsidP="00547492">
      <w:pPr>
        <w:pStyle w:val="Heading4"/>
        <w:spacing w:line="360" w:lineRule="auto"/>
      </w:pPr>
      <w:r>
        <w:t>Tax business:</w:t>
      </w:r>
    </w:p>
    <w:p w:rsidR="004D0CDE" w:rsidRDefault="004D0CDE" w:rsidP="00547492">
      <w:pPr>
        <w:pStyle w:val="ListParagraph"/>
        <w:numPr>
          <w:ilvl w:val="0"/>
          <w:numId w:val="10"/>
        </w:numPr>
        <w:spacing w:line="360" w:lineRule="auto"/>
      </w:pPr>
      <w:r w:rsidRPr="00AD6F1B">
        <w:t>High Brand recognition with 98% Americans</w:t>
      </w:r>
      <w:r>
        <w:t xml:space="preserve"> recognizing H&amp;R Block, yet </w:t>
      </w:r>
      <w:r w:rsidRPr="00AD6F1B">
        <w:t>5M clients leave every year</w:t>
      </w:r>
      <w:r>
        <w:t xml:space="preserve"> (30% churn rate)</w:t>
      </w:r>
      <w:r w:rsidRPr="00AD6F1B">
        <w:t>; 50% US population already been a customer</w:t>
      </w:r>
    </w:p>
    <w:p w:rsidR="00886134" w:rsidRPr="00AD6F1B" w:rsidRDefault="00886134" w:rsidP="00547492">
      <w:pPr>
        <w:pStyle w:val="ListParagraph"/>
        <w:numPr>
          <w:ilvl w:val="0"/>
          <w:numId w:val="10"/>
        </w:numPr>
        <w:spacing w:line="360" w:lineRule="auto"/>
      </w:pPr>
      <w:r w:rsidRPr="00AD6F1B">
        <w:t xml:space="preserve">58% of 16.3M </w:t>
      </w:r>
      <w:r w:rsidR="00016FD1">
        <w:t>customers</w:t>
      </w:r>
      <w:r w:rsidRPr="00AD6F1B">
        <w:t xml:space="preserve"> </w:t>
      </w:r>
      <w:r>
        <w:t>earn</w:t>
      </w:r>
      <w:r w:rsidRPr="00AD6F1B">
        <w:t xml:space="preserve"> less than 30k$/year</w:t>
      </w:r>
    </w:p>
    <w:p w:rsidR="00A87AA2" w:rsidRDefault="00A87AA2" w:rsidP="00547492">
      <w:pPr>
        <w:pStyle w:val="ListParagraph"/>
        <w:numPr>
          <w:ilvl w:val="0"/>
          <w:numId w:val="10"/>
        </w:numPr>
        <w:spacing w:line="360" w:lineRule="auto"/>
      </w:pPr>
      <w:r w:rsidRPr="00AD6F1B">
        <w:t xml:space="preserve">Although </w:t>
      </w:r>
      <w:r w:rsidR="00016FD1">
        <w:t xml:space="preserve">revenues from </w:t>
      </w:r>
      <w:r w:rsidRPr="00AD6F1B">
        <w:t xml:space="preserve">tax returns is growing, # customers is decreasing. During the same period, # customers of </w:t>
      </w:r>
      <w:r w:rsidR="00016FD1">
        <w:t>branded</w:t>
      </w:r>
      <w:r w:rsidRPr="00AD6F1B">
        <w:t xml:space="preserve"> competitors is growing. The</w:t>
      </w:r>
      <w:r w:rsidR="000F16EE">
        <w:t xml:space="preserve">se competitors are </w:t>
      </w:r>
      <w:r w:rsidR="00016FD1">
        <w:t xml:space="preserve">value </w:t>
      </w:r>
      <w:r w:rsidR="000F16EE">
        <w:t>focused</w:t>
      </w:r>
    </w:p>
    <w:p w:rsidR="00857740" w:rsidRDefault="00016FD1" w:rsidP="00547492">
      <w:pPr>
        <w:pStyle w:val="ListParagraph"/>
        <w:numPr>
          <w:ilvl w:val="0"/>
          <w:numId w:val="10"/>
        </w:numPr>
        <w:spacing w:line="360" w:lineRule="auto"/>
      </w:pPr>
      <w:r>
        <w:t>With only 12% market share, there is lots of growth potential in tax preparation</w:t>
      </w:r>
    </w:p>
    <w:p w:rsidR="00857740" w:rsidRDefault="00857740" w:rsidP="00547492">
      <w:pPr>
        <w:spacing w:line="360" w:lineRule="auto"/>
        <w:jc w:val="center"/>
      </w:pPr>
      <w:r>
        <w:rPr>
          <w:noProof/>
        </w:rPr>
        <w:drawing>
          <wp:inline distT="0" distB="0" distL="0" distR="0" wp14:anchorId="68AECF65" wp14:editId="4E81F229">
            <wp:extent cx="379095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7740" w:rsidRDefault="00857740" w:rsidP="00547492">
      <w:pPr>
        <w:spacing w:line="360" w:lineRule="auto"/>
      </w:pPr>
    </w:p>
    <w:p w:rsidR="0004189D" w:rsidRDefault="0004189D">
      <w:pPr>
        <w:rPr>
          <w:rFonts w:asciiTheme="majorHAnsi" w:eastAsiaTheme="majorEastAsia" w:hAnsiTheme="majorHAnsi" w:cstheme="majorBidi"/>
          <w:b/>
          <w:bCs/>
          <w:color w:val="943634" w:themeColor="accent2" w:themeShade="BF"/>
          <w:sz w:val="22"/>
          <w:szCs w:val="22"/>
        </w:rPr>
      </w:pPr>
      <w:r>
        <w:br w:type="page"/>
      </w:r>
    </w:p>
    <w:p w:rsidR="004E4653" w:rsidRPr="00AD6F1B" w:rsidRDefault="00016FD1" w:rsidP="00547492">
      <w:pPr>
        <w:pStyle w:val="Heading4"/>
        <w:spacing w:line="360" w:lineRule="auto"/>
      </w:pPr>
      <w:r>
        <w:lastRenderedPageBreak/>
        <w:t>AFS</w:t>
      </w:r>
    </w:p>
    <w:p w:rsidR="004E4653" w:rsidRDefault="00016FD1" w:rsidP="00547492">
      <w:pPr>
        <w:pStyle w:val="ListParagraph"/>
        <w:numPr>
          <w:ilvl w:val="0"/>
          <w:numId w:val="10"/>
        </w:numPr>
        <w:spacing w:line="360" w:lineRule="auto"/>
      </w:pPr>
      <w:r>
        <w:t>Block reaches 38</w:t>
      </w:r>
      <w:r w:rsidR="004E4653">
        <w:t>% of un</w:t>
      </w:r>
      <w:r>
        <w:t>/</w:t>
      </w:r>
      <w:r w:rsidR="004E4653">
        <w:t>marginally banked individuals in US</w:t>
      </w:r>
    </w:p>
    <w:p w:rsidR="00F46039" w:rsidRDefault="00F46039" w:rsidP="00547492">
      <w:pPr>
        <w:pStyle w:val="ListParagraph"/>
        <w:numPr>
          <w:ilvl w:val="0"/>
          <w:numId w:val="10"/>
        </w:numPr>
        <w:spacing w:line="360" w:lineRule="auto"/>
      </w:pPr>
      <w:r>
        <w:t>47% customers expressed interest in refund check cashing; 39% interest in year round service, consistent with the 38% of customers who are marginally/unbanked</w:t>
      </w:r>
    </w:p>
    <w:p w:rsidR="00A87AA2" w:rsidRPr="00AD6F1B" w:rsidRDefault="004D0CDE" w:rsidP="00547492">
      <w:pPr>
        <w:pStyle w:val="ListParagraph"/>
        <w:numPr>
          <w:ilvl w:val="0"/>
          <w:numId w:val="10"/>
        </w:numPr>
        <w:spacing w:line="360" w:lineRule="auto"/>
      </w:pPr>
      <w:r w:rsidRPr="00AD6F1B">
        <w:t>RAL delivers funds to 4.6M customers</w:t>
      </w:r>
      <w:r>
        <w:t>; after introduction</w:t>
      </w:r>
      <w:r w:rsidR="00A87AA2" w:rsidRPr="00AD6F1B">
        <w:t>, customer demographic shift</w:t>
      </w:r>
      <w:r>
        <w:t>ed</w:t>
      </w:r>
      <w:r w:rsidR="00A87AA2" w:rsidRPr="00AD6F1B">
        <w:t xml:space="preserve"> towards lower income </w:t>
      </w:r>
      <w:r w:rsidR="00016FD1">
        <w:t>filers</w:t>
      </w:r>
    </w:p>
    <w:p w:rsidR="00A87AA2" w:rsidRPr="00AD6F1B" w:rsidRDefault="00A87AA2" w:rsidP="00547492">
      <w:pPr>
        <w:pStyle w:val="ListParagraph"/>
        <w:numPr>
          <w:ilvl w:val="0"/>
          <w:numId w:val="10"/>
        </w:numPr>
        <w:spacing w:line="360" w:lineRule="auto"/>
      </w:pPr>
      <w:r w:rsidRPr="00AD6F1B">
        <w:t>2004, 4.3M clients purchase RALs for average 3k$ refund (1.5M instant RALs, 2.8M traditional)</w:t>
      </w:r>
    </w:p>
    <w:p w:rsidR="00C533B2" w:rsidRPr="00AD6F1B" w:rsidRDefault="00C533B2" w:rsidP="00547492">
      <w:pPr>
        <w:pStyle w:val="ListParagraph"/>
        <w:numPr>
          <w:ilvl w:val="0"/>
          <w:numId w:val="13"/>
        </w:numPr>
        <w:spacing w:line="360" w:lineRule="auto"/>
      </w:pPr>
      <w:r w:rsidRPr="00AD6F1B">
        <w:t xml:space="preserve">Perception of </w:t>
      </w:r>
      <w:r w:rsidR="004D0CDE" w:rsidRPr="00AD6F1B">
        <w:t>predatorily</w:t>
      </w:r>
      <w:r w:rsidRPr="00AD6F1B">
        <w:t xml:space="preserve"> lending (settled </w:t>
      </w:r>
      <w:r w:rsidR="004D0CDE" w:rsidRPr="00AD6F1B">
        <w:t>lawsuit</w:t>
      </w:r>
      <w:r w:rsidRPr="00AD6F1B">
        <w:t xml:space="preserve"> for 43.5M$ in 2003)</w:t>
      </w:r>
    </w:p>
    <w:p w:rsidR="00A87AA2" w:rsidRPr="00AD6F1B" w:rsidRDefault="00A87AA2" w:rsidP="00547492">
      <w:pPr>
        <w:pStyle w:val="Heading2"/>
        <w:spacing w:line="360" w:lineRule="auto"/>
      </w:pPr>
      <w:r w:rsidRPr="00AD6F1B">
        <w:t>Main Issue</w:t>
      </w:r>
      <w:r>
        <w:t>s</w:t>
      </w:r>
    </w:p>
    <w:p w:rsidR="00FF7BA1" w:rsidRDefault="00FF7BA1" w:rsidP="00FF7BA1">
      <w:pPr>
        <w:pStyle w:val="ListParagraph"/>
        <w:numPr>
          <w:ilvl w:val="0"/>
          <w:numId w:val="5"/>
        </w:numPr>
        <w:spacing w:line="360" w:lineRule="auto"/>
      </w:pPr>
      <w:r>
        <w:t>M</w:t>
      </w:r>
      <w:r>
        <w:t xml:space="preserve">iss-alignment between </w:t>
      </w:r>
      <w:r>
        <w:t>Block</w:t>
      </w:r>
      <w:r>
        <w:t xml:space="preserve">’s </w:t>
      </w:r>
      <w:r>
        <w:t xml:space="preserve">stated </w:t>
      </w:r>
      <w:r>
        <w:t>differentiation strategy and shift</w:t>
      </w:r>
      <w:r>
        <w:t xml:space="preserve"> of</w:t>
      </w:r>
      <w:r>
        <w:t xml:space="preserve"> customer demographics</w:t>
      </w:r>
      <w:r>
        <w:t xml:space="preserve"> in lower income segment</w:t>
      </w:r>
    </w:p>
    <w:p w:rsidR="00A87AA2" w:rsidRPr="00AD6F1B" w:rsidRDefault="00A87AA2" w:rsidP="00547492">
      <w:pPr>
        <w:pStyle w:val="ListParagraph"/>
        <w:numPr>
          <w:ilvl w:val="0"/>
          <w:numId w:val="5"/>
        </w:numPr>
        <w:spacing w:line="360" w:lineRule="auto"/>
      </w:pPr>
      <w:r w:rsidRPr="00AD6F1B">
        <w:t xml:space="preserve">68% </w:t>
      </w:r>
      <w:r w:rsidR="00016FD1">
        <w:t>a</w:t>
      </w:r>
      <w:r w:rsidRPr="00AD6F1B">
        <w:t xml:space="preserve">ssets used up in operations that are generating losses and not aligned with Block’s core </w:t>
      </w:r>
      <w:r w:rsidR="00016FD1">
        <w:t>business</w:t>
      </w:r>
    </w:p>
    <w:p w:rsidR="000F16EE" w:rsidRDefault="000F16EE" w:rsidP="00547492">
      <w:pPr>
        <w:pStyle w:val="ListParagraph"/>
        <w:numPr>
          <w:ilvl w:val="0"/>
          <w:numId w:val="5"/>
        </w:numPr>
        <w:spacing w:line="360" w:lineRule="auto"/>
      </w:pPr>
      <w:r>
        <w:t xml:space="preserve">30% churn rate, with </w:t>
      </w:r>
      <w:r w:rsidR="00016FD1">
        <w:t xml:space="preserve">customer acquisition </w:t>
      </w:r>
      <w:r>
        <w:t>cost approaching ARPU and growing at alarming rates</w:t>
      </w:r>
    </w:p>
    <w:p w:rsidR="00FF7BA1" w:rsidRDefault="00FF7BA1" w:rsidP="00FF7BA1">
      <w:pPr>
        <w:pStyle w:val="ListParagraph"/>
        <w:numPr>
          <w:ilvl w:val="0"/>
          <w:numId w:val="5"/>
        </w:numPr>
        <w:spacing w:line="360" w:lineRule="auto"/>
      </w:pPr>
      <w:r>
        <w:t>Too many non-profitable non-core products is shifting focus away from core competency</w:t>
      </w:r>
    </w:p>
    <w:p w:rsidR="004D0CDE" w:rsidRDefault="004D0CDE" w:rsidP="00547492">
      <w:pPr>
        <w:spacing w:line="360" w:lineRule="auto"/>
      </w:pPr>
    </w:p>
    <w:p w:rsidR="00886134" w:rsidRPr="00AD6F1B" w:rsidRDefault="00886134" w:rsidP="00547492">
      <w:pPr>
        <w:pStyle w:val="Heading2"/>
        <w:spacing w:line="360" w:lineRule="auto"/>
      </w:pPr>
      <w:r>
        <w:t>Ethical Considerations</w:t>
      </w:r>
    </w:p>
    <w:p w:rsidR="00F46039" w:rsidRDefault="00F46039" w:rsidP="00547492">
      <w:pPr>
        <w:spacing w:line="360" w:lineRule="auto"/>
      </w:pPr>
      <w:r>
        <w:t>Stakeholders: Shareholders, Employees, customers</w:t>
      </w:r>
    </w:p>
    <w:p w:rsidR="00886134" w:rsidRDefault="00886134" w:rsidP="00547492">
      <w:pPr>
        <w:pStyle w:val="ListParagraph"/>
        <w:numPr>
          <w:ilvl w:val="0"/>
          <w:numId w:val="5"/>
        </w:numPr>
        <w:spacing w:line="360" w:lineRule="auto"/>
      </w:pPr>
      <w:r>
        <w:t xml:space="preserve">Focus on lower income markets requires proper balance between profits and </w:t>
      </w:r>
      <w:r w:rsidR="00FF7BA1">
        <w:t>social considerations</w:t>
      </w:r>
    </w:p>
    <w:p w:rsidR="00D27675" w:rsidRDefault="00D27675" w:rsidP="00547492">
      <w:pPr>
        <w:pStyle w:val="ListParagraph"/>
        <w:numPr>
          <w:ilvl w:val="0"/>
          <w:numId w:val="5"/>
        </w:numPr>
        <w:spacing w:line="360" w:lineRule="auto"/>
      </w:pPr>
      <w:r>
        <w:t xml:space="preserve">Even though part of the slogan include “Save More”, it is nearly impossible for lower income segment of the population to achieve savings since incomes </w:t>
      </w:r>
      <w:r w:rsidR="00FF7BA1">
        <w:t>do</w:t>
      </w:r>
      <w:r>
        <w:t xml:space="preserve"> not even cover basic needs</w:t>
      </w:r>
    </w:p>
    <w:p w:rsidR="00111E1E" w:rsidRDefault="00111E1E" w:rsidP="00547492">
      <w:pPr>
        <w:pStyle w:val="ListParagraph"/>
        <w:numPr>
          <w:ilvl w:val="0"/>
          <w:numId w:val="5"/>
        </w:numPr>
        <w:spacing w:line="360" w:lineRule="auto"/>
      </w:pPr>
      <w:r>
        <w:t>Creating new AFS products does not help people break the cycle of poverty, but rather contributes to trapping them into AFS</w:t>
      </w:r>
    </w:p>
    <w:p w:rsidR="00886134" w:rsidRDefault="00886134" w:rsidP="00547492">
      <w:pPr>
        <w:pStyle w:val="ListParagraph"/>
        <w:numPr>
          <w:ilvl w:val="0"/>
          <w:numId w:val="5"/>
        </w:numPr>
        <w:spacing w:line="360" w:lineRule="auto"/>
      </w:pPr>
      <w:r>
        <w:t>Divesti</w:t>
      </w:r>
      <w:r w:rsidR="00FF7BA1">
        <w:t>tures would</w:t>
      </w:r>
      <w:r>
        <w:t xml:space="preserve"> affect employees working in these business units</w:t>
      </w:r>
    </w:p>
    <w:p w:rsidR="00F46039" w:rsidRDefault="00F46039" w:rsidP="00547492">
      <w:pPr>
        <w:pStyle w:val="ListParagraph"/>
        <w:numPr>
          <w:ilvl w:val="0"/>
          <w:numId w:val="5"/>
        </w:numPr>
        <w:spacing w:line="360" w:lineRule="auto"/>
      </w:pPr>
      <w:r>
        <w:t>Leaving offices open year round will provide better employment conditions for workers</w:t>
      </w:r>
    </w:p>
    <w:p w:rsidR="00A90AC1" w:rsidRDefault="00A90AC1" w:rsidP="00547492">
      <w:pPr>
        <w:spacing w:line="360" w:lineRule="auto"/>
      </w:pPr>
    </w:p>
    <w:p w:rsidR="0004189D" w:rsidRPr="00AD6F1B" w:rsidRDefault="0004189D" w:rsidP="00547492">
      <w:pPr>
        <w:spacing w:line="360" w:lineRule="auto"/>
      </w:pPr>
    </w:p>
    <w:p w:rsidR="00B833DD" w:rsidRPr="00AD6F1B" w:rsidRDefault="00111E1E" w:rsidP="00547492">
      <w:pPr>
        <w:pStyle w:val="Heading1"/>
        <w:spacing w:line="360" w:lineRule="auto"/>
      </w:pPr>
      <w:r>
        <w:t xml:space="preserve">Strategic </w:t>
      </w:r>
      <w:r w:rsidR="00B833DD" w:rsidRPr="00AD6F1B">
        <w:t>Alternatives</w:t>
      </w:r>
    </w:p>
    <w:p w:rsidR="00111E1E" w:rsidRDefault="00111E1E" w:rsidP="00547492">
      <w:pPr>
        <w:spacing w:line="360" w:lineRule="auto"/>
      </w:pPr>
      <w:r>
        <w:t xml:space="preserve">H&amp;R Block is facing a misalignment between </w:t>
      </w:r>
      <w:r w:rsidR="00FF7BA1">
        <w:t xml:space="preserve">resource </w:t>
      </w:r>
      <w:r>
        <w:t xml:space="preserve">focus and core strategy. On one side it has one of the strongest brands in the country for its core competency (tax returns) and invests </w:t>
      </w:r>
      <w:r w:rsidR="00FF7BA1">
        <w:t xml:space="preserve">significantly </w:t>
      </w:r>
      <w:r>
        <w:t>in marketing, yet focus</w:t>
      </w:r>
      <w:r w:rsidR="00FF7BA1">
        <w:t xml:space="preserve"> is</w:t>
      </w:r>
      <w:r>
        <w:t xml:space="preserve"> on developing new non-core alternative financial products which consumes lots of resources and has the effect of shifting consumer base to low income segment of the population and potentially alienating branded </w:t>
      </w:r>
      <w:r w:rsidR="00A1734C">
        <w:t xml:space="preserve">higher income </w:t>
      </w:r>
      <w:r w:rsidR="00FF7BA1">
        <w:t>customers</w:t>
      </w:r>
      <w:r>
        <w:t>.</w:t>
      </w:r>
    </w:p>
    <w:p w:rsidR="00C52D4A" w:rsidRDefault="00111E1E" w:rsidP="00547492">
      <w:pPr>
        <w:spacing w:line="360" w:lineRule="auto"/>
      </w:pPr>
      <w:r>
        <w:lastRenderedPageBreak/>
        <w:t xml:space="preserve"> The biggest strategic choice faced by Block is:</w:t>
      </w:r>
    </w:p>
    <w:p w:rsidR="00111E1E" w:rsidRDefault="00111E1E" w:rsidP="00547492">
      <w:pPr>
        <w:pStyle w:val="ListParagraph"/>
        <w:numPr>
          <w:ilvl w:val="0"/>
          <w:numId w:val="15"/>
        </w:numPr>
        <w:spacing w:line="360" w:lineRule="auto"/>
      </w:pPr>
      <w:r>
        <w:t>Continue product mix expansion by enhancing AFS offerings. This strategy would require a restructure of spending away from marketing and more focused on low cost product development and business processes optimization</w:t>
      </w:r>
    </w:p>
    <w:p w:rsidR="003450BD" w:rsidRDefault="00111E1E" w:rsidP="00E47E82">
      <w:pPr>
        <w:pStyle w:val="ListParagraph"/>
        <w:numPr>
          <w:ilvl w:val="0"/>
          <w:numId w:val="15"/>
        </w:numPr>
        <w:spacing w:line="360" w:lineRule="auto"/>
      </w:pPr>
      <w:r>
        <w:t xml:space="preserve">Refocus on </w:t>
      </w:r>
      <w:r w:rsidR="00FF7BA1">
        <w:t>tax preparation c</w:t>
      </w:r>
      <w:r>
        <w:t xml:space="preserve">ore business and reinforce brand image. </w:t>
      </w:r>
      <w:r w:rsidR="00C52D4A">
        <w:t>In which case, it should move away from AFS</w:t>
      </w:r>
      <w:r w:rsidR="00A1734C">
        <w:t xml:space="preserve"> and divest non-profitable non-core products.</w:t>
      </w:r>
      <w:r w:rsidR="00C52D4A">
        <w:t xml:space="preserve"> </w:t>
      </w:r>
    </w:p>
    <w:p w:rsidR="00FF7BA1" w:rsidRDefault="00FF7BA1" w:rsidP="00FF7BA1">
      <w:pPr>
        <w:pStyle w:val="ListParagraph"/>
        <w:spacing w:line="360" w:lineRule="auto"/>
      </w:pPr>
    </w:p>
    <w:p w:rsidR="00B833DD" w:rsidRDefault="00B833DD" w:rsidP="00547492">
      <w:pPr>
        <w:pStyle w:val="Heading1"/>
        <w:spacing w:line="360" w:lineRule="auto"/>
      </w:pPr>
      <w:r w:rsidRPr="00AD6F1B">
        <w:t xml:space="preserve">Recommendation </w:t>
      </w:r>
    </w:p>
    <w:p w:rsidR="00D8304A" w:rsidRPr="00AD6F1B" w:rsidRDefault="00D8304A" w:rsidP="00547492">
      <w:pPr>
        <w:pStyle w:val="Heading2"/>
        <w:spacing w:line="360" w:lineRule="auto"/>
      </w:pPr>
      <w:r>
        <w:t>Alternative 1: Re-focus</w:t>
      </w:r>
    </w:p>
    <w:p w:rsidR="0004189D" w:rsidRDefault="0004189D" w:rsidP="00547492">
      <w:pPr>
        <w:spacing w:line="360" w:lineRule="auto"/>
        <w:sectPr w:rsidR="0004189D">
          <w:headerReference w:type="default" r:id="rId13"/>
          <w:pgSz w:w="12240" w:h="15840"/>
          <w:pgMar w:top="1440" w:right="1440" w:bottom="1440" w:left="1440" w:header="720" w:footer="720" w:gutter="0"/>
          <w:cols w:space="720"/>
          <w:docGrid w:linePitch="360"/>
        </w:sectPr>
      </w:pPr>
    </w:p>
    <w:p w:rsidR="00D8304A" w:rsidRDefault="00D8304A" w:rsidP="00547492">
      <w:pPr>
        <w:spacing w:line="360" w:lineRule="auto"/>
      </w:pPr>
      <w:r>
        <w:lastRenderedPageBreak/>
        <w:t>Pros:</w:t>
      </w:r>
    </w:p>
    <w:p w:rsidR="00D8304A" w:rsidRDefault="00FF7BA1" w:rsidP="00547492">
      <w:pPr>
        <w:pStyle w:val="ListParagraph"/>
        <w:numPr>
          <w:ilvl w:val="0"/>
          <w:numId w:val="37"/>
        </w:numPr>
        <w:spacing w:line="360" w:lineRule="auto"/>
      </w:pPr>
      <w:r>
        <w:t>P</w:t>
      </w:r>
      <w:r w:rsidR="00D8304A">
        <w:t xml:space="preserve">roven success in tax filing </w:t>
      </w:r>
      <w:r>
        <w:t>already</w:t>
      </w:r>
      <w:r w:rsidR="00D8304A">
        <w:t xml:space="preserve"> industry leader</w:t>
      </w:r>
    </w:p>
    <w:p w:rsidR="00D8304A" w:rsidRDefault="00FF7BA1" w:rsidP="00547492">
      <w:pPr>
        <w:pStyle w:val="ListParagraph"/>
        <w:numPr>
          <w:ilvl w:val="0"/>
          <w:numId w:val="37"/>
        </w:numPr>
        <w:spacing w:line="360" w:lineRule="auto"/>
      </w:pPr>
      <w:r>
        <w:t>T</w:t>
      </w:r>
      <w:r w:rsidR="00D8304A">
        <w:t xml:space="preserve">ax business </w:t>
      </w:r>
      <w:r>
        <w:t>offers excellent</w:t>
      </w:r>
      <w:r w:rsidR="00D8304A">
        <w:t xml:space="preserve"> margins (28.7%, up from 23% in 1999)</w:t>
      </w:r>
    </w:p>
    <w:p w:rsidR="00D8304A" w:rsidRDefault="00D8304A" w:rsidP="00547492">
      <w:pPr>
        <w:pStyle w:val="ListParagraph"/>
        <w:numPr>
          <w:ilvl w:val="0"/>
          <w:numId w:val="37"/>
        </w:numPr>
        <w:spacing w:line="360" w:lineRule="auto"/>
      </w:pPr>
      <w:r>
        <w:t>With only 12% market share, there is tremendous room for growth</w:t>
      </w:r>
      <w:r w:rsidR="008C4EC3">
        <w:t>. Since # of customers is the success metric used by shareholders to rate the company, this would benefit stockholder’s perceptions</w:t>
      </w:r>
    </w:p>
    <w:p w:rsidR="00D8304A" w:rsidRDefault="00D8304A" w:rsidP="00547492">
      <w:pPr>
        <w:pStyle w:val="ListParagraph"/>
        <w:numPr>
          <w:ilvl w:val="0"/>
          <w:numId w:val="37"/>
        </w:numPr>
        <w:spacing w:line="360" w:lineRule="auto"/>
      </w:pPr>
      <w:r>
        <w:t>Product mix rationalization should simplify management and help focus</w:t>
      </w:r>
    </w:p>
    <w:p w:rsidR="00D8304A" w:rsidRDefault="00FF7BA1" w:rsidP="00FF7BA1">
      <w:pPr>
        <w:pStyle w:val="ListParagraph"/>
        <w:numPr>
          <w:ilvl w:val="0"/>
          <w:numId w:val="37"/>
        </w:numPr>
        <w:spacing w:line="360" w:lineRule="auto"/>
      </w:pPr>
      <w:r>
        <w:lastRenderedPageBreak/>
        <w:t>L</w:t>
      </w:r>
      <w:r w:rsidR="00D8304A">
        <w:t>everages strong brand recognition</w:t>
      </w:r>
      <w:r>
        <w:t xml:space="preserve"> and core competency</w:t>
      </w:r>
    </w:p>
    <w:p w:rsidR="00D8304A" w:rsidRDefault="00D8304A" w:rsidP="00547492">
      <w:pPr>
        <w:spacing w:line="360" w:lineRule="auto"/>
      </w:pPr>
      <w:r>
        <w:t>Cons:</w:t>
      </w:r>
    </w:p>
    <w:p w:rsidR="00FF7BA1" w:rsidRDefault="00D8304A" w:rsidP="00FF7BA1">
      <w:pPr>
        <w:pStyle w:val="ListParagraph"/>
        <w:numPr>
          <w:ilvl w:val="0"/>
          <w:numId w:val="39"/>
        </w:numPr>
        <w:spacing w:line="360" w:lineRule="auto"/>
      </w:pPr>
      <w:r>
        <w:t>Loss opportunity of incremental revenues from AFS</w:t>
      </w:r>
    </w:p>
    <w:p w:rsidR="00FF7BA1" w:rsidRDefault="00D8304A" w:rsidP="00547492">
      <w:pPr>
        <w:pStyle w:val="ListParagraph"/>
        <w:numPr>
          <w:ilvl w:val="0"/>
          <w:numId w:val="39"/>
        </w:numPr>
        <w:spacing w:line="360" w:lineRule="auto"/>
      </w:pPr>
      <w:r>
        <w:t>Potential conflict with management</w:t>
      </w:r>
      <w:r w:rsidR="00FF7BA1">
        <w:t>’s</w:t>
      </w:r>
      <w:r>
        <w:t xml:space="preserve"> vision since mostly form Amex</w:t>
      </w:r>
    </w:p>
    <w:p w:rsidR="00D8304A" w:rsidRDefault="00FF7BA1" w:rsidP="00547492">
      <w:pPr>
        <w:pStyle w:val="ListParagraph"/>
        <w:numPr>
          <w:ilvl w:val="0"/>
          <w:numId w:val="39"/>
        </w:numPr>
        <w:spacing w:line="360" w:lineRule="auto"/>
      </w:pPr>
      <w:r>
        <w:t xml:space="preserve">Negative effects of divestitures on employees </w:t>
      </w:r>
      <w:r w:rsidR="00D8304A">
        <w:t xml:space="preserve"> </w:t>
      </w:r>
    </w:p>
    <w:p w:rsidR="0004189D" w:rsidRDefault="0004189D" w:rsidP="0004189D">
      <w:pPr>
        <w:spacing w:line="360" w:lineRule="auto"/>
      </w:pPr>
    </w:p>
    <w:p w:rsidR="0004189D" w:rsidRDefault="0004189D" w:rsidP="0004189D">
      <w:pPr>
        <w:spacing w:line="360" w:lineRule="auto"/>
      </w:pPr>
    </w:p>
    <w:p w:rsidR="0004189D" w:rsidRDefault="0004189D" w:rsidP="0004189D">
      <w:pPr>
        <w:spacing w:line="360" w:lineRule="auto"/>
      </w:pPr>
    </w:p>
    <w:p w:rsidR="0004189D" w:rsidRDefault="0004189D" w:rsidP="0004189D">
      <w:pPr>
        <w:spacing w:line="360" w:lineRule="auto"/>
      </w:pPr>
    </w:p>
    <w:p w:rsidR="0004189D" w:rsidRDefault="0004189D" w:rsidP="0004189D">
      <w:pPr>
        <w:spacing w:line="360" w:lineRule="auto"/>
      </w:pPr>
    </w:p>
    <w:p w:rsidR="0004189D" w:rsidRDefault="0004189D" w:rsidP="00547492">
      <w:pPr>
        <w:pStyle w:val="Heading2"/>
        <w:spacing w:line="360" w:lineRule="auto"/>
        <w:sectPr w:rsidR="0004189D" w:rsidSect="0004189D">
          <w:type w:val="continuous"/>
          <w:pgSz w:w="12240" w:h="15840"/>
          <w:pgMar w:top="1440" w:right="1440" w:bottom="1440" w:left="1440" w:header="720" w:footer="720" w:gutter="0"/>
          <w:cols w:num="2" w:space="144"/>
          <w:docGrid w:linePitch="360"/>
        </w:sectPr>
      </w:pPr>
    </w:p>
    <w:p w:rsidR="00D8304A" w:rsidRDefault="00D8304A" w:rsidP="00547492">
      <w:pPr>
        <w:pStyle w:val="Heading2"/>
        <w:spacing w:line="360" w:lineRule="auto"/>
      </w:pPr>
      <w:r>
        <w:lastRenderedPageBreak/>
        <w:t>Alternative 2: Product mix extension towards AFS</w:t>
      </w:r>
    </w:p>
    <w:p w:rsidR="0004189D" w:rsidRDefault="0004189D" w:rsidP="00547492">
      <w:pPr>
        <w:spacing w:line="360" w:lineRule="auto"/>
        <w:sectPr w:rsidR="0004189D" w:rsidSect="0004189D">
          <w:type w:val="continuous"/>
          <w:pgSz w:w="12240" w:h="15840"/>
          <w:pgMar w:top="1440" w:right="1440" w:bottom="1440" w:left="1440" w:header="720" w:footer="720" w:gutter="0"/>
          <w:cols w:space="720"/>
          <w:docGrid w:linePitch="360"/>
        </w:sectPr>
      </w:pPr>
    </w:p>
    <w:p w:rsidR="00D8304A" w:rsidRDefault="00D8304A" w:rsidP="00547492">
      <w:pPr>
        <w:spacing w:line="360" w:lineRule="auto"/>
      </w:pPr>
      <w:r>
        <w:lastRenderedPageBreak/>
        <w:t>Pros:</w:t>
      </w:r>
    </w:p>
    <w:p w:rsidR="00D8304A" w:rsidRDefault="00FF7BA1" w:rsidP="00547492">
      <w:pPr>
        <w:pStyle w:val="ListParagraph"/>
        <w:numPr>
          <w:ilvl w:val="0"/>
          <w:numId w:val="39"/>
        </w:numPr>
        <w:spacing w:line="360" w:lineRule="auto"/>
      </w:pPr>
      <w:r>
        <w:t xml:space="preserve">Significant growth in </w:t>
      </w:r>
      <w:r w:rsidR="00D8304A">
        <w:t>AFS industry</w:t>
      </w:r>
    </w:p>
    <w:p w:rsidR="00D8304A" w:rsidRDefault="00D8304A" w:rsidP="00547492">
      <w:pPr>
        <w:pStyle w:val="ListParagraph"/>
        <w:numPr>
          <w:ilvl w:val="0"/>
          <w:numId w:val="39"/>
        </w:numPr>
        <w:spacing w:line="360" w:lineRule="auto"/>
      </w:pPr>
      <w:r>
        <w:t xml:space="preserve">Leveraging existing stores therefore </w:t>
      </w:r>
      <w:r w:rsidR="00FF7BA1">
        <w:t>competitive advantage on costs</w:t>
      </w:r>
    </w:p>
    <w:p w:rsidR="00D8304A" w:rsidRDefault="00D8304A" w:rsidP="00FF7BA1">
      <w:pPr>
        <w:pStyle w:val="ListParagraph"/>
        <w:numPr>
          <w:ilvl w:val="0"/>
          <w:numId w:val="39"/>
        </w:numPr>
        <w:spacing w:line="360" w:lineRule="auto"/>
      </w:pPr>
      <w:r>
        <w:t>Appealing to lower income individuals</w:t>
      </w:r>
      <w:r w:rsidR="00FF7BA1">
        <w:t xml:space="preserve">, </w:t>
      </w:r>
      <w:r>
        <w:t>a growing segment of population</w:t>
      </w:r>
    </w:p>
    <w:p w:rsidR="00D8304A" w:rsidRDefault="00D8304A" w:rsidP="00547492">
      <w:pPr>
        <w:spacing w:line="360" w:lineRule="auto"/>
      </w:pPr>
      <w:r>
        <w:t>Cons:</w:t>
      </w:r>
    </w:p>
    <w:p w:rsidR="00D8304A" w:rsidRDefault="00D8304A" w:rsidP="00547492">
      <w:pPr>
        <w:pStyle w:val="ListParagraph"/>
        <w:numPr>
          <w:ilvl w:val="0"/>
          <w:numId w:val="38"/>
        </w:numPr>
        <w:spacing w:line="360" w:lineRule="auto"/>
      </w:pPr>
      <w:r>
        <w:t xml:space="preserve">Unattractive industry </w:t>
      </w:r>
    </w:p>
    <w:p w:rsidR="0004189D" w:rsidRDefault="0004189D" w:rsidP="00547492">
      <w:pPr>
        <w:pStyle w:val="ListParagraph"/>
        <w:numPr>
          <w:ilvl w:val="0"/>
          <w:numId w:val="38"/>
        </w:numPr>
        <w:spacing w:line="360" w:lineRule="auto"/>
      </w:pPr>
      <w:r>
        <w:t>Hurts the brand</w:t>
      </w:r>
    </w:p>
    <w:p w:rsidR="00D8304A" w:rsidRDefault="00D8304A" w:rsidP="00547492">
      <w:pPr>
        <w:pStyle w:val="ListParagraph"/>
        <w:numPr>
          <w:ilvl w:val="0"/>
          <w:numId w:val="38"/>
        </w:numPr>
        <w:spacing w:line="360" w:lineRule="auto"/>
      </w:pPr>
      <w:r>
        <w:lastRenderedPageBreak/>
        <w:t xml:space="preserve">No </w:t>
      </w:r>
      <w:r w:rsidR="00FF7BA1">
        <w:t>proven success in the industry and historical pore per</w:t>
      </w:r>
      <w:r w:rsidR="0004189D">
        <w:t>formance in non-core operations</w:t>
      </w:r>
    </w:p>
    <w:p w:rsidR="002C0AB7" w:rsidRDefault="0004189D" w:rsidP="00547492">
      <w:pPr>
        <w:pStyle w:val="ListParagraph"/>
        <w:numPr>
          <w:ilvl w:val="0"/>
          <w:numId w:val="38"/>
        </w:numPr>
        <w:spacing w:line="360" w:lineRule="auto"/>
      </w:pPr>
      <w:r>
        <w:t>L</w:t>
      </w:r>
      <w:r w:rsidR="00D8304A">
        <w:t xml:space="preserve">ocking </w:t>
      </w:r>
      <w:r>
        <w:t xml:space="preserve">people </w:t>
      </w:r>
      <w:r w:rsidR="00D8304A">
        <w:t>in</w:t>
      </w:r>
      <w:r>
        <w:t>to</w:t>
      </w:r>
      <w:r w:rsidR="00D8304A">
        <w:t xml:space="preserve"> AFS cycle rather than helping them migrate towards traditional FIs is o</w:t>
      </w:r>
      <w:r>
        <w:t>nly contributing to the problem, not helping them</w:t>
      </w:r>
    </w:p>
    <w:p w:rsidR="00D27675" w:rsidRDefault="0004189D" w:rsidP="00547492">
      <w:pPr>
        <w:pStyle w:val="ListParagraph"/>
        <w:numPr>
          <w:ilvl w:val="0"/>
          <w:numId w:val="38"/>
        </w:numPr>
        <w:spacing w:line="360" w:lineRule="auto"/>
      </w:pPr>
      <w:r>
        <w:t>I</w:t>
      </w:r>
      <w:r w:rsidR="00D27675">
        <w:t xml:space="preserve">ncrease legal exposure and risk of additional </w:t>
      </w:r>
      <w:r w:rsidR="00CE748B">
        <w:t>lawsuit</w:t>
      </w:r>
      <w:r>
        <w:t>s (Already settled for predatory lending)</w:t>
      </w:r>
    </w:p>
    <w:p w:rsidR="0004189D" w:rsidRDefault="00B12D90" w:rsidP="00C6580A">
      <w:pPr>
        <w:pStyle w:val="ListParagraph"/>
        <w:numPr>
          <w:ilvl w:val="0"/>
          <w:numId w:val="38"/>
        </w:numPr>
        <w:spacing w:line="360" w:lineRule="auto"/>
      </w:pPr>
      <w:r>
        <w:t xml:space="preserve">Does not </w:t>
      </w:r>
      <w:r w:rsidR="0004189D">
        <w:t>address declining number of customers</w:t>
      </w:r>
    </w:p>
    <w:p w:rsidR="00346EEA" w:rsidRDefault="00346EEA" w:rsidP="0075462D">
      <w:pPr>
        <w:spacing w:line="360" w:lineRule="auto"/>
        <w:sectPr w:rsidR="00346EEA" w:rsidSect="00346EEA">
          <w:type w:val="continuous"/>
          <w:pgSz w:w="12240" w:h="15840"/>
          <w:pgMar w:top="1440" w:right="1440" w:bottom="1440" w:left="1440" w:header="720" w:footer="720" w:gutter="0"/>
          <w:cols w:num="2" w:space="144"/>
          <w:docGrid w:linePitch="360"/>
        </w:sectPr>
      </w:pPr>
    </w:p>
    <w:p w:rsidR="0004189D" w:rsidRDefault="0004189D" w:rsidP="0075462D">
      <w:pPr>
        <w:spacing w:line="360" w:lineRule="auto"/>
        <w:sectPr w:rsidR="0004189D" w:rsidSect="0004189D">
          <w:type w:val="continuous"/>
          <w:pgSz w:w="12240" w:h="15840"/>
          <w:pgMar w:top="1440" w:right="1440" w:bottom="1440" w:left="1440" w:header="720" w:footer="720" w:gutter="0"/>
          <w:cols w:num="2" w:space="720"/>
          <w:docGrid w:linePitch="360"/>
        </w:sectPr>
      </w:pPr>
    </w:p>
    <w:p w:rsidR="00BC3F1A" w:rsidRDefault="00BC3F1A" w:rsidP="0075462D">
      <w:pPr>
        <w:pStyle w:val="Heading4"/>
        <w:spacing w:line="360" w:lineRule="auto"/>
        <w:ind w:left="0"/>
      </w:pPr>
      <w:r>
        <w:lastRenderedPageBreak/>
        <w:t>Stakeholder Analysis</w:t>
      </w:r>
    </w:p>
    <w:p w:rsidR="00BC3F1A" w:rsidRPr="00BC3F1A" w:rsidRDefault="00BC3F1A" w:rsidP="00547492">
      <w:pPr>
        <w:spacing w:line="360" w:lineRule="auto"/>
      </w:pPr>
    </w:p>
    <w:tbl>
      <w:tblPr>
        <w:tblStyle w:val="TableGrid"/>
        <w:tblW w:w="0" w:type="auto"/>
        <w:tblLook w:val="04A0" w:firstRow="1" w:lastRow="0" w:firstColumn="1" w:lastColumn="0" w:noHBand="0" w:noVBand="1"/>
      </w:tblPr>
      <w:tblGrid>
        <w:gridCol w:w="1188"/>
        <w:gridCol w:w="1710"/>
        <w:gridCol w:w="1530"/>
        <w:gridCol w:w="1819"/>
        <w:gridCol w:w="1650"/>
        <w:gridCol w:w="1679"/>
      </w:tblGrid>
      <w:tr w:rsidR="00BC3F1A" w:rsidTr="008C4EC3">
        <w:tc>
          <w:tcPr>
            <w:tcW w:w="1188" w:type="dxa"/>
          </w:tcPr>
          <w:p w:rsidR="00BC3F1A" w:rsidRDefault="00BC3F1A" w:rsidP="00547492">
            <w:pPr>
              <w:spacing w:line="360" w:lineRule="auto"/>
            </w:pPr>
          </w:p>
        </w:tc>
        <w:tc>
          <w:tcPr>
            <w:tcW w:w="1710" w:type="dxa"/>
            <w:vAlign w:val="bottom"/>
          </w:tcPr>
          <w:p w:rsidR="00BC3F1A" w:rsidRPr="00BC3F1A" w:rsidRDefault="00BC3F1A" w:rsidP="00547492">
            <w:pPr>
              <w:spacing w:line="360" w:lineRule="auto"/>
              <w:rPr>
                <w:rFonts w:ascii="Calibri" w:hAnsi="Calibri"/>
                <w:b/>
                <w:iCs w:val="0"/>
                <w:color w:val="000000"/>
                <w:sz w:val="22"/>
                <w:szCs w:val="22"/>
              </w:rPr>
            </w:pPr>
            <w:r w:rsidRPr="00BC3F1A">
              <w:rPr>
                <w:rFonts w:ascii="Calibri" w:hAnsi="Calibri"/>
                <w:b/>
                <w:color w:val="000000"/>
                <w:sz w:val="22"/>
                <w:szCs w:val="22"/>
              </w:rPr>
              <w:t>Customers (Low Income)</w:t>
            </w:r>
          </w:p>
        </w:tc>
        <w:tc>
          <w:tcPr>
            <w:tcW w:w="1530" w:type="dxa"/>
          </w:tcPr>
          <w:p w:rsidR="00BC3F1A" w:rsidRPr="00BC3F1A" w:rsidRDefault="00BC3F1A" w:rsidP="00547492">
            <w:pPr>
              <w:spacing w:line="360" w:lineRule="auto"/>
              <w:rPr>
                <w:rFonts w:ascii="Calibri" w:hAnsi="Calibri"/>
                <w:b/>
                <w:color w:val="000000"/>
                <w:sz w:val="22"/>
                <w:szCs w:val="22"/>
              </w:rPr>
            </w:pPr>
            <w:r w:rsidRPr="00BC3F1A">
              <w:rPr>
                <w:rFonts w:ascii="Calibri" w:hAnsi="Calibri"/>
                <w:b/>
                <w:color w:val="000000"/>
                <w:sz w:val="22"/>
                <w:szCs w:val="22"/>
              </w:rPr>
              <w:t>Customers (med/high Income)</w:t>
            </w:r>
          </w:p>
        </w:tc>
        <w:tc>
          <w:tcPr>
            <w:tcW w:w="1819" w:type="dxa"/>
            <w:vAlign w:val="bottom"/>
          </w:tcPr>
          <w:p w:rsidR="00BC3F1A" w:rsidRPr="00BC3F1A" w:rsidRDefault="00BC3F1A" w:rsidP="00547492">
            <w:pPr>
              <w:spacing w:line="360" w:lineRule="auto"/>
              <w:rPr>
                <w:rFonts w:ascii="Calibri" w:hAnsi="Calibri"/>
                <w:b/>
                <w:color w:val="000000"/>
                <w:sz w:val="22"/>
                <w:szCs w:val="22"/>
              </w:rPr>
            </w:pPr>
            <w:r w:rsidRPr="00BC3F1A">
              <w:rPr>
                <w:rFonts w:ascii="Calibri" w:hAnsi="Calibri"/>
                <w:b/>
                <w:color w:val="000000"/>
                <w:sz w:val="22"/>
                <w:szCs w:val="22"/>
              </w:rPr>
              <w:t>Shareholders</w:t>
            </w:r>
          </w:p>
        </w:tc>
        <w:tc>
          <w:tcPr>
            <w:tcW w:w="1650" w:type="dxa"/>
            <w:vAlign w:val="bottom"/>
          </w:tcPr>
          <w:p w:rsidR="00BC3F1A" w:rsidRPr="00BC3F1A" w:rsidRDefault="00BC3F1A" w:rsidP="00547492">
            <w:pPr>
              <w:spacing w:line="360" w:lineRule="auto"/>
              <w:rPr>
                <w:rFonts w:ascii="Calibri" w:hAnsi="Calibri"/>
                <w:b/>
                <w:color w:val="000000"/>
                <w:sz w:val="22"/>
                <w:szCs w:val="22"/>
              </w:rPr>
            </w:pPr>
            <w:r w:rsidRPr="00BC3F1A">
              <w:rPr>
                <w:rFonts w:ascii="Calibri" w:hAnsi="Calibri"/>
                <w:b/>
                <w:color w:val="000000"/>
                <w:sz w:val="22"/>
                <w:szCs w:val="22"/>
              </w:rPr>
              <w:t>Employees</w:t>
            </w:r>
          </w:p>
        </w:tc>
        <w:tc>
          <w:tcPr>
            <w:tcW w:w="1679" w:type="dxa"/>
            <w:vAlign w:val="bottom"/>
          </w:tcPr>
          <w:p w:rsidR="00BC3F1A" w:rsidRPr="00BC3F1A" w:rsidRDefault="00BC3F1A" w:rsidP="00547492">
            <w:pPr>
              <w:spacing w:line="360" w:lineRule="auto"/>
              <w:rPr>
                <w:rFonts w:ascii="Calibri" w:hAnsi="Calibri"/>
                <w:b/>
                <w:color w:val="000000"/>
                <w:sz w:val="22"/>
                <w:szCs w:val="22"/>
              </w:rPr>
            </w:pPr>
            <w:r w:rsidRPr="00BC3F1A">
              <w:rPr>
                <w:rFonts w:ascii="Calibri" w:hAnsi="Calibri"/>
                <w:b/>
                <w:color w:val="000000"/>
                <w:sz w:val="22"/>
                <w:szCs w:val="22"/>
              </w:rPr>
              <w:t>Franchisees</w:t>
            </w:r>
          </w:p>
        </w:tc>
      </w:tr>
      <w:tr w:rsidR="00D8304A" w:rsidTr="008C4EC3">
        <w:tc>
          <w:tcPr>
            <w:tcW w:w="1188" w:type="dxa"/>
            <w:vAlign w:val="bottom"/>
          </w:tcPr>
          <w:p w:rsidR="00D8304A" w:rsidRPr="00BC3F1A" w:rsidRDefault="00D8304A" w:rsidP="00547492">
            <w:pPr>
              <w:spacing w:line="360" w:lineRule="auto"/>
              <w:rPr>
                <w:rFonts w:ascii="Calibri" w:hAnsi="Calibri"/>
                <w:b/>
                <w:iCs w:val="0"/>
                <w:color w:val="000000"/>
                <w:sz w:val="22"/>
                <w:szCs w:val="22"/>
              </w:rPr>
            </w:pPr>
            <w:r w:rsidRPr="00BC3F1A">
              <w:rPr>
                <w:rFonts w:ascii="Calibri" w:hAnsi="Calibri"/>
                <w:b/>
                <w:color w:val="000000"/>
                <w:sz w:val="22"/>
                <w:szCs w:val="22"/>
              </w:rPr>
              <w:t>Refocus on core business</w:t>
            </w:r>
          </w:p>
        </w:tc>
        <w:tc>
          <w:tcPr>
            <w:tcW w:w="1710" w:type="dxa"/>
            <w:shd w:val="clear" w:color="auto" w:fill="EAF1DD" w:themeFill="accent3" w:themeFillTint="33"/>
          </w:tcPr>
          <w:p w:rsidR="00D8304A" w:rsidRDefault="00D8304A" w:rsidP="00547492">
            <w:pPr>
              <w:spacing w:line="360" w:lineRule="auto"/>
            </w:pPr>
            <w:r>
              <w:t>Can be helped to break out of poverty cycle</w:t>
            </w:r>
          </w:p>
        </w:tc>
        <w:tc>
          <w:tcPr>
            <w:tcW w:w="1530" w:type="dxa"/>
            <w:shd w:val="clear" w:color="auto" w:fill="EAF1DD" w:themeFill="accent3" w:themeFillTint="33"/>
          </w:tcPr>
          <w:p w:rsidR="00D8304A" w:rsidRDefault="0004189D" w:rsidP="00547492">
            <w:pPr>
              <w:spacing w:line="360" w:lineRule="auto"/>
            </w:pPr>
            <w:r>
              <w:t>Increased brand satisfaction and potentially service quality</w:t>
            </w:r>
          </w:p>
        </w:tc>
        <w:tc>
          <w:tcPr>
            <w:tcW w:w="1819" w:type="dxa"/>
            <w:shd w:val="clear" w:color="auto" w:fill="FFFF00"/>
          </w:tcPr>
          <w:p w:rsidR="00D8304A" w:rsidRDefault="008C4EC3" w:rsidP="00547492">
            <w:pPr>
              <w:spacing w:line="360" w:lineRule="auto"/>
            </w:pPr>
            <w:r>
              <w:t>Increase in customer base (primary success metric)  and revenues</w:t>
            </w:r>
          </w:p>
        </w:tc>
        <w:tc>
          <w:tcPr>
            <w:tcW w:w="1650" w:type="dxa"/>
            <w:shd w:val="clear" w:color="auto" w:fill="F2DBDB" w:themeFill="accent2" w:themeFillTint="33"/>
          </w:tcPr>
          <w:p w:rsidR="00D8304A" w:rsidRDefault="00D8304A" w:rsidP="00547492">
            <w:pPr>
              <w:spacing w:line="360" w:lineRule="auto"/>
            </w:pPr>
            <w:r>
              <w:t>Less work because of seasonality of taxes</w:t>
            </w:r>
            <w:r w:rsidR="00CE748B">
              <w:t xml:space="preserve"> and shift to online</w:t>
            </w:r>
          </w:p>
        </w:tc>
        <w:tc>
          <w:tcPr>
            <w:tcW w:w="1679" w:type="dxa"/>
            <w:shd w:val="clear" w:color="auto" w:fill="EAF1DD" w:themeFill="accent3" w:themeFillTint="33"/>
          </w:tcPr>
          <w:p w:rsidR="00D8304A" w:rsidRDefault="00D8304A" w:rsidP="00547492">
            <w:pPr>
              <w:spacing w:line="360" w:lineRule="auto"/>
            </w:pPr>
            <w:r>
              <w:t>Strengthen brand = benefits for franchises</w:t>
            </w:r>
          </w:p>
        </w:tc>
      </w:tr>
      <w:tr w:rsidR="00D8304A" w:rsidTr="008C4EC3">
        <w:tc>
          <w:tcPr>
            <w:tcW w:w="1188" w:type="dxa"/>
            <w:vAlign w:val="bottom"/>
          </w:tcPr>
          <w:p w:rsidR="00D8304A" w:rsidRPr="00BC3F1A" w:rsidRDefault="00D8304A" w:rsidP="00547492">
            <w:pPr>
              <w:spacing w:line="360" w:lineRule="auto"/>
              <w:rPr>
                <w:rFonts w:ascii="Calibri" w:hAnsi="Calibri"/>
                <w:b/>
                <w:color w:val="000000"/>
                <w:sz w:val="22"/>
                <w:szCs w:val="22"/>
              </w:rPr>
            </w:pPr>
            <w:r w:rsidRPr="00BC3F1A">
              <w:rPr>
                <w:rFonts w:ascii="Calibri" w:hAnsi="Calibri"/>
                <w:b/>
                <w:color w:val="000000"/>
                <w:sz w:val="22"/>
                <w:szCs w:val="22"/>
              </w:rPr>
              <w:t>Expand EFS Offering</w:t>
            </w:r>
          </w:p>
        </w:tc>
        <w:tc>
          <w:tcPr>
            <w:tcW w:w="1710" w:type="dxa"/>
            <w:shd w:val="clear" w:color="auto" w:fill="F2DBDB" w:themeFill="accent2" w:themeFillTint="33"/>
          </w:tcPr>
          <w:p w:rsidR="00D8304A" w:rsidRDefault="00D8304A" w:rsidP="00547492">
            <w:pPr>
              <w:spacing w:line="360" w:lineRule="auto"/>
            </w:pPr>
            <w:r>
              <w:t>Locked into poverty cycle, financially taken advantage of</w:t>
            </w:r>
          </w:p>
        </w:tc>
        <w:tc>
          <w:tcPr>
            <w:tcW w:w="1530" w:type="dxa"/>
            <w:shd w:val="clear" w:color="auto" w:fill="F2DBDB" w:themeFill="accent2" w:themeFillTint="33"/>
          </w:tcPr>
          <w:p w:rsidR="00D8304A" w:rsidRDefault="00D8304A" w:rsidP="00547492">
            <w:pPr>
              <w:spacing w:line="360" w:lineRule="auto"/>
            </w:pPr>
            <w:r>
              <w:t>Could be alienated because of brand perception</w:t>
            </w:r>
          </w:p>
        </w:tc>
        <w:tc>
          <w:tcPr>
            <w:tcW w:w="1819" w:type="dxa"/>
            <w:shd w:val="clear" w:color="auto" w:fill="FFFF00"/>
          </w:tcPr>
          <w:p w:rsidR="00D8304A" w:rsidRDefault="008C4EC3" w:rsidP="00547492">
            <w:pPr>
              <w:spacing w:line="360" w:lineRule="auto"/>
            </w:pPr>
            <w:r>
              <w:t>Revenue per customer should increase but not # customers</w:t>
            </w:r>
          </w:p>
        </w:tc>
        <w:tc>
          <w:tcPr>
            <w:tcW w:w="1650" w:type="dxa"/>
            <w:shd w:val="clear" w:color="auto" w:fill="EAF1DD" w:themeFill="accent3" w:themeFillTint="33"/>
          </w:tcPr>
          <w:p w:rsidR="00D8304A" w:rsidRDefault="00D8304A" w:rsidP="00547492">
            <w:pPr>
              <w:spacing w:line="360" w:lineRule="auto"/>
            </w:pPr>
            <w:r>
              <w:t>Opportunity to work year round and more diversity of duties</w:t>
            </w:r>
          </w:p>
        </w:tc>
        <w:tc>
          <w:tcPr>
            <w:tcW w:w="1679" w:type="dxa"/>
            <w:shd w:val="clear" w:color="auto" w:fill="F2DBDB" w:themeFill="accent2" w:themeFillTint="33"/>
          </w:tcPr>
          <w:p w:rsidR="00D8304A" w:rsidRDefault="00D8304A" w:rsidP="00547492">
            <w:pPr>
              <w:spacing w:line="360" w:lineRule="auto"/>
            </w:pPr>
            <w:r>
              <w:t>Decreases value of brand and appeal of franchise</w:t>
            </w:r>
          </w:p>
        </w:tc>
      </w:tr>
    </w:tbl>
    <w:p w:rsidR="00B833DD" w:rsidRDefault="00B833DD" w:rsidP="00547492">
      <w:pPr>
        <w:spacing w:line="360" w:lineRule="auto"/>
      </w:pPr>
    </w:p>
    <w:p w:rsidR="00D27675" w:rsidRDefault="00D8304A" w:rsidP="00547492">
      <w:pPr>
        <w:spacing w:line="360" w:lineRule="auto"/>
      </w:pPr>
      <w:r>
        <w:t>Both from a business</w:t>
      </w:r>
      <w:r w:rsidR="008C4EC3">
        <w:t xml:space="preserve"> standpoint</w:t>
      </w:r>
      <w:r>
        <w:t xml:space="preserve"> as well as an ethical perspective, refocusing on core business is the best strategic alternative.</w:t>
      </w:r>
      <w:r w:rsidR="008C4EC3">
        <w:t xml:space="preserve"> Block’s core competency is tax preparation, not financial services. </w:t>
      </w:r>
      <w:r w:rsidR="0004189D">
        <w:t xml:space="preserve">Block </w:t>
      </w:r>
      <w:r w:rsidR="008C4EC3">
        <w:t xml:space="preserve">has a track record of not being able to operate successfully in areas away from </w:t>
      </w:r>
      <w:r w:rsidR="00D27675">
        <w:t>its</w:t>
      </w:r>
      <w:r w:rsidR="008C4EC3">
        <w:t xml:space="preserve"> core business</w:t>
      </w:r>
      <w:r w:rsidR="0004189D">
        <w:t xml:space="preserve"> with </w:t>
      </w:r>
      <w:r w:rsidR="008C4EC3">
        <w:t xml:space="preserve">3 </w:t>
      </w:r>
      <w:r w:rsidR="00D27675">
        <w:t>ancillary</w:t>
      </w:r>
      <w:r w:rsidR="008C4EC3">
        <w:t xml:space="preserve"> services </w:t>
      </w:r>
      <w:r w:rsidR="0004189D">
        <w:t>BUs</w:t>
      </w:r>
      <w:r w:rsidR="008C4EC3">
        <w:t xml:space="preserve"> operating at loss</w:t>
      </w:r>
      <w:r w:rsidR="00D27675">
        <w:t xml:space="preserve">. </w:t>
      </w:r>
    </w:p>
    <w:p w:rsidR="00D27675" w:rsidRDefault="00D27675" w:rsidP="00547492">
      <w:pPr>
        <w:spacing w:line="360" w:lineRule="auto"/>
      </w:pPr>
    </w:p>
    <w:p w:rsidR="008C4EC3" w:rsidRDefault="00D27675" w:rsidP="00547492">
      <w:pPr>
        <w:spacing w:line="360" w:lineRule="auto"/>
      </w:pPr>
      <w:r>
        <w:t>As an industry leader, H&amp;R Block has a social duty towards its customers.  While not expanding to offer AFS services to extract more money from lower income filers, Block should none the less attempt to assist these individuals in breaking the poverty cycle. With refunds being a significant revenue source for these households, Block</w:t>
      </w:r>
      <w:r w:rsidR="0075462D">
        <w:t xml:space="preserve"> is in an </w:t>
      </w:r>
      <w:r>
        <w:t xml:space="preserve">influential situation where it can help customers start using conventional financial products at lower fees than AFS. </w:t>
      </w:r>
    </w:p>
    <w:p w:rsidR="002C0AB7" w:rsidRDefault="002C0AB7" w:rsidP="00547492">
      <w:pPr>
        <w:spacing w:line="360" w:lineRule="auto"/>
      </w:pPr>
    </w:p>
    <w:p w:rsidR="0075462D" w:rsidRDefault="0075462D">
      <w:pPr>
        <w:rPr>
          <w:rFonts w:asciiTheme="majorHAnsi" w:eastAsiaTheme="majorEastAsia" w:hAnsiTheme="majorHAnsi" w:cstheme="majorBidi"/>
          <w:b/>
          <w:bCs/>
          <w:color w:val="622423" w:themeColor="accent2" w:themeShade="7F"/>
          <w:sz w:val="22"/>
          <w:szCs w:val="22"/>
        </w:rPr>
      </w:pPr>
      <w:r>
        <w:br w:type="page"/>
      </w:r>
    </w:p>
    <w:p w:rsidR="00B833DD" w:rsidRPr="00AD6F1B" w:rsidRDefault="00B833DD" w:rsidP="00547492">
      <w:pPr>
        <w:pStyle w:val="Heading1"/>
        <w:spacing w:line="360" w:lineRule="auto"/>
      </w:pPr>
      <w:r w:rsidRPr="00AD6F1B">
        <w:lastRenderedPageBreak/>
        <w:t>Implementation</w:t>
      </w:r>
    </w:p>
    <w:p w:rsidR="00B40EC8" w:rsidRDefault="00B40EC8" w:rsidP="00547492">
      <w:pPr>
        <w:pStyle w:val="Heading4"/>
        <w:spacing w:line="360" w:lineRule="auto"/>
      </w:pPr>
      <w:r>
        <w:t>Re-Focus:</w:t>
      </w:r>
    </w:p>
    <w:p w:rsidR="0075462D" w:rsidRDefault="0075462D" w:rsidP="0075462D">
      <w:pPr>
        <w:pStyle w:val="ListParagraph"/>
        <w:spacing w:line="360" w:lineRule="auto"/>
      </w:pPr>
    </w:p>
    <w:p w:rsidR="00AA549E" w:rsidRDefault="00AA549E" w:rsidP="00547492">
      <w:pPr>
        <w:pStyle w:val="ListParagraph"/>
        <w:numPr>
          <w:ilvl w:val="0"/>
          <w:numId w:val="40"/>
        </w:numPr>
        <w:spacing w:line="360" w:lineRule="auto"/>
      </w:pPr>
      <w:r>
        <w:t>Divest from</w:t>
      </w:r>
      <w:r w:rsidR="008C4EC3">
        <w:t xml:space="preserve"> the following B</w:t>
      </w:r>
      <w:r w:rsidR="0075462D">
        <w:t>U</w:t>
      </w:r>
      <w:r w:rsidR="008C4EC3">
        <w:t>s:</w:t>
      </w:r>
      <w:r>
        <w:t xml:space="preserve"> </w:t>
      </w:r>
      <w:r w:rsidR="00D8304A" w:rsidRPr="00AD6F1B">
        <w:t>business services, investment services and corporate operations</w:t>
      </w:r>
      <w:r w:rsidR="008C4EC3">
        <w:t>. T</w:t>
      </w:r>
      <w:r w:rsidR="008E1FBC">
        <w:t>his</w:t>
      </w:r>
      <w:r w:rsidR="00B40EC8">
        <w:t xml:space="preserve"> will free up 3.4B$</w:t>
      </w:r>
      <w:r w:rsidR="008E1FBC">
        <w:t xml:space="preserve"> in capital (assuming assets sold </w:t>
      </w:r>
      <w:r w:rsidR="0075462D">
        <w:t>@</w:t>
      </w:r>
      <w:r w:rsidR="008E1FBC">
        <w:t xml:space="preserve"> book value) to finance strategy implementation</w:t>
      </w:r>
      <w:r w:rsidR="00B40EC8">
        <w:t xml:space="preserve"> and generate 264M$ in additional profits by cutting losses</w:t>
      </w:r>
    </w:p>
    <w:p w:rsidR="008C4EC3" w:rsidRDefault="00CE748B" w:rsidP="00547492">
      <w:pPr>
        <w:pStyle w:val="ListParagraph"/>
        <w:numPr>
          <w:ilvl w:val="0"/>
          <w:numId w:val="40"/>
        </w:numPr>
        <w:spacing w:line="360" w:lineRule="auto"/>
      </w:pPr>
      <w:r>
        <w:t>Co</w:t>
      </w:r>
      <w:bookmarkStart w:id="0" w:name="_GoBack"/>
      <w:bookmarkEnd w:id="0"/>
      <w:r>
        <w:t>ntinue to i</w:t>
      </w:r>
      <w:r w:rsidR="008C4EC3">
        <w:t>ncrease the number of offices</w:t>
      </w:r>
      <w:r>
        <w:t xml:space="preserve"> </w:t>
      </w:r>
      <w:r w:rsidR="008C4EC3">
        <w:t>to enhance the convenience of service and market share</w:t>
      </w:r>
      <w:r>
        <w:t xml:space="preserve">. Expansion could be achieved by continuing to open offices in retail locations, providing synergies between Block and host retail. During off-tax season, retailer </w:t>
      </w:r>
      <w:r w:rsidR="0075462D">
        <w:t>can</w:t>
      </w:r>
      <w:r>
        <w:t xml:space="preserve"> re-use the space for additional store space. </w:t>
      </w:r>
    </w:p>
    <w:p w:rsidR="00B40EC8" w:rsidRDefault="00B40EC8" w:rsidP="00547492">
      <w:pPr>
        <w:pStyle w:val="ListParagraph"/>
        <w:numPr>
          <w:ilvl w:val="0"/>
          <w:numId w:val="40"/>
        </w:numPr>
        <w:spacing w:line="360" w:lineRule="auto"/>
      </w:pPr>
      <w:r>
        <w:t xml:space="preserve">Find the root cause of 30% </w:t>
      </w:r>
      <w:r w:rsidR="0075462D">
        <w:t xml:space="preserve">churn rate </w:t>
      </w:r>
      <w:r>
        <w:t>and address the issue (although declining brand perception could be to blame, no specific cause was provided in the case)</w:t>
      </w:r>
    </w:p>
    <w:p w:rsidR="00B40EC8" w:rsidRDefault="0075462D" w:rsidP="0075462D">
      <w:pPr>
        <w:pStyle w:val="ListParagraph"/>
        <w:numPr>
          <w:ilvl w:val="0"/>
          <w:numId w:val="40"/>
        </w:numPr>
        <w:spacing w:line="360" w:lineRule="auto"/>
      </w:pPr>
      <w:r>
        <w:t xml:space="preserve">Integrate people with </w:t>
      </w:r>
      <w:r w:rsidR="00B40EC8">
        <w:t>accounting background rather than lending</w:t>
      </w:r>
      <w:r>
        <w:t xml:space="preserve"> in upper management</w:t>
      </w:r>
    </w:p>
    <w:p w:rsidR="00B40EC8" w:rsidRDefault="00B40EC8" w:rsidP="00547492">
      <w:pPr>
        <w:pStyle w:val="ListParagraph"/>
        <w:numPr>
          <w:ilvl w:val="0"/>
          <w:numId w:val="40"/>
        </w:numPr>
        <w:spacing w:line="360" w:lineRule="auto"/>
      </w:pPr>
      <w:r>
        <w:t>Invest in online platform (if possible attempt to acquire Inuit using capital freed up from divestitures)</w:t>
      </w:r>
    </w:p>
    <w:p w:rsidR="00B40EC8" w:rsidRDefault="00B40EC8" w:rsidP="00547492">
      <w:pPr>
        <w:pStyle w:val="ListParagraph"/>
        <w:spacing w:line="360" w:lineRule="auto"/>
      </w:pPr>
    </w:p>
    <w:p w:rsidR="00B40EC8" w:rsidRDefault="00B40EC8" w:rsidP="00547492">
      <w:pPr>
        <w:pStyle w:val="Heading4"/>
        <w:spacing w:line="360" w:lineRule="auto"/>
      </w:pPr>
      <w:r>
        <w:t>Helping the pore</w:t>
      </w:r>
    </w:p>
    <w:p w:rsidR="00B40EC8" w:rsidRDefault="00B40EC8" w:rsidP="00547492">
      <w:pPr>
        <w:spacing w:line="360" w:lineRule="auto"/>
      </w:pPr>
    </w:p>
    <w:p w:rsidR="00230014" w:rsidRDefault="00230014" w:rsidP="00547492">
      <w:pPr>
        <w:pStyle w:val="ListParagraph"/>
        <w:numPr>
          <w:ilvl w:val="0"/>
          <w:numId w:val="41"/>
        </w:numPr>
        <w:spacing w:line="360" w:lineRule="auto"/>
      </w:pPr>
      <w:r>
        <w:t>Offer free use of tax software for people with income &lt; 30k$; partner with community services to provide computer access to the software</w:t>
      </w:r>
    </w:p>
    <w:p w:rsidR="00CE748B" w:rsidRDefault="00CE748B" w:rsidP="00547492">
      <w:pPr>
        <w:pStyle w:val="ListParagraph"/>
        <w:numPr>
          <w:ilvl w:val="0"/>
          <w:numId w:val="41"/>
        </w:numPr>
        <w:spacing w:line="360" w:lineRule="auto"/>
      </w:pPr>
      <w:r>
        <w:t xml:space="preserve">Develop an online training program to educate people on how to file taxes using Block software. </w:t>
      </w:r>
    </w:p>
    <w:p w:rsidR="00592268" w:rsidRDefault="00CE748B" w:rsidP="00547492">
      <w:pPr>
        <w:pStyle w:val="ListParagraph"/>
        <w:numPr>
          <w:ilvl w:val="0"/>
          <w:numId w:val="41"/>
        </w:numPr>
        <w:spacing w:line="360" w:lineRule="auto"/>
      </w:pPr>
      <w:r>
        <w:t>End partnership with ACE and stop offering check clearing services. Instead, p</w:t>
      </w:r>
      <w:r w:rsidR="00683D18">
        <w:t>artner with FIs</w:t>
      </w:r>
      <w:r w:rsidR="00230014">
        <w:t xml:space="preserve"> </w:t>
      </w:r>
      <w:r>
        <w:t xml:space="preserve">and </w:t>
      </w:r>
      <w:r w:rsidR="00230014">
        <w:t>offer customers to open a bank account and direct deposit the check into this account. Market</w:t>
      </w:r>
      <w:r w:rsidR="0075462D">
        <w:t>ing campaign outlining benefits of FIs over AFS</w:t>
      </w:r>
      <w:r w:rsidR="00230014">
        <w:t xml:space="preserve">.  </w:t>
      </w:r>
    </w:p>
    <w:p w:rsidR="00230014" w:rsidRDefault="00230014" w:rsidP="00547492">
      <w:pPr>
        <w:pStyle w:val="ListParagraph"/>
        <w:numPr>
          <w:ilvl w:val="0"/>
          <w:numId w:val="41"/>
        </w:numPr>
        <w:spacing w:line="360" w:lineRule="auto"/>
      </w:pPr>
      <w:r>
        <w:t>For customers who do not want bank accounts, offer tax refunds in pre-loaded credit cards. The credit institutions will still earn money from commission charged to merchants when funds are spent</w:t>
      </w:r>
      <w:r w:rsidR="002B3C5C">
        <w:t>, and the customers will not have to pay any fees. The credit cards could be made refillable such that customers could use them as permanent pre-paid credit instruments to start building credit history</w:t>
      </w:r>
    </w:p>
    <w:p w:rsidR="008E1FBC" w:rsidRDefault="008E1FBC" w:rsidP="008E0EC0"/>
    <w:p w:rsidR="002B3C5C" w:rsidRDefault="002B3C5C">
      <w:pPr>
        <w:rPr>
          <w:rFonts w:asciiTheme="majorHAnsi" w:eastAsiaTheme="majorEastAsia" w:hAnsiTheme="majorHAnsi" w:cstheme="majorBidi"/>
          <w:b/>
          <w:bCs/>
          <w:color w:val="622423" w:themeColor="accent2" w:themeShade="7F"/>
          <w:sz w:val="22"/>
          <w:szCs w:val="22"/>
        </w:rPr>
      </w:pPr>
      <w:r>
        <w:br w:type="page"/>
      </w:r>
    </w:p>
    <w:p w:rsidR="00592268" w:rsidRPr="00AD6F1B" w:rsidRDefault="00592268" w:rsidP="002C0AB7">
      <w:pPr>
        <w:pStyle w:val="Heading1"/>
      </w:pPr>
      <w:r w:rsidRPr="00AD6F1B">
        <w:lastRenderedPageBreak/>
        <w:t>Exhibit A</w:t>
      </w:r>
      <w:r w:rsidR="007D1771" w:rsidRPr="00AD6F1B">
        <w:t>: H&amp;R Block’s Cost of Capital</w:t>
      </w:r>
    </w:p>
    <w:p w:rsidR="007D1771" w:rsidRPr="00AD6F1B" w:rsidRDefault="007D1771" w:rsidP="008E0EC0">
      <w:r w:rsidRPr="00AD6F1B">
        <w:t>Data taken from 2003 financial statements, all numbers in M$</w:t>
      </w:r>
    </w:p>
    <w:p w:rsidR="00CE748B" w:rsidRDefault="00CE748B" w:rsidP="008E0EC0"/>
    <w:p w:rsidR="00CE748B" w:rsidRDefault="00CE748B" w:rsidP="008E0EC0">
      <w:pPr>
        <w:sectPr w:rsidR="00CE748B" w:rsidSect="0004189D">
          <w:type w:val="continuous"/>
          <w:pgSz w:w="12240" w:h="15840"/>
          <w:pgMar w:top="1440" w:right="1440" w:bottom="1440" w:left="1440" w:header="720" w:footer="720" w:gutter="0"/>
          <w:cols w:space="720"/>
          <w:docGrid w:linePitch="360"/>
        </w:sectPr>
      </w:pPr>
    </w:p>
    <w:p w:rsidR="00592268" w:rsidRPr="00AD6F1B" w:rsidRDefault="00592268" w:rsidP="008E0EC0">
      <w:r w:rsidRPr="00AD6F1B">
        <w:lastRenderedPageBreak/>
        <w:t>Annual Dividend Growth:</w:t>
      </w:r>
    </w:p>
    <w:tbl>
      <w:tblPr>
        <w:tblW w:w="3885" w:type="dxa"/>
        <w:tblInd w:w="55" w:type="dxa"/>
        <w:tblCellMar>
          <w:left w:w="70" w:type="dxa"/>
          <w:right w:w="70" w:type="dxa"/>
        </w:tblCellMar>
        <w:tblLook w:val="04A0" w:firstRow="1" w:lastRow="0" w:firstColumn="1" w:lastColumn="0" w:noHBand="0" w:noVBand="1"/>
      </w:tblPr>
      <w:tblGrid>
        <w:gridCol w:w="960"/>
        <w:gridCol w:w="546"/>
        <w:gridCol w:w="546"/>
        <w:gridCol w:w="546"/>
        <w:gridCol w:w="546"/>
        <w:gridCol w:w="546"/>
        <w:gridCol w:w="546"/>
      </w:tblGrid>
      <w:tr w:rsidR="007D1771" w:rsidRPr="007D1771" w:rsidTr="00F41B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Year</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1998</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1999</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2000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2001</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2002</w:t>
            </w:r>
          </w:p>
        </w:tc>
        <w:tc>
          <w:tcPr>
            <w:tcW w:w="195" w:type="dxa"/>
            <w:tcBorders>
              <w:top w:val="single" w:sz="4" w:space="0" w:color="auto"/>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2003</w:t>
            </w:r>
          </w:p>
        </w:tc>
      </w:tr>
      <w:tr w:rsidR="007D1771" w:rsidRPr="007D1771" w:rsidTr="00F41B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Dividend</w:t>
            </w:r>
          </w:p>
        </w:tc>
        <w:tc>
          <w:tcPr>
            <w:tcW w:w="546"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84</w:t>
            </w:r>
          </w:p>
        </w:tc>
        <w:tc>
          <w:tcPr>
            <w:tcW w:w="546"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95</w:t>
            </w:r>
          </w:p>
        </w:tc>
        <w:tc>
          <w:tcPr>
            <w:tcW w:w="546"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105</w:t>
            </w:r>
          </w:p>
        </w:tc>
        <w:tc>
          <w:tcPr>
            <w:tcW w:w="546"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108</w:t>
            </w:r>
          </w:p>
        </w:tc>
        <w:tc>
          <w:tcPr>
            <w:tcW w:w="546"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115</w:t>
            </w:r>
          </w:p>
        </w:tc>
        <w:tc>
          <w:tcPr>
            <w:tcW w:w="195"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125</w:t>
            </w:r>
          </w:p>
        </w:tc>
      </w:tr>
      <w:tr w:rsidR="007D1771" w:rsidRPr="007D1771" w:rsidTr="00F41B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Growth</w:t>
            </w:r>
          </w:p>
        </w:tc>
        <w:tc>
          <w:tcPr>
            <w:tcW w:w="546"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 </w:t>
            </w:r>
          </w:p>
        </w:tc>
        <w:tc>
          <w:tcPr>
            <w:tcW w:w="546"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13%</w:t>
            </w:r>
          </w:p>
        </w:tc>
        <w:tc>
          <w:tcPr>
            <w:tcW w:w="546"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11%</w:t>
            </w:r>
          </w:p>
        </w:tc>
        <w:tc>
          <w:tcPr>
            <w:tcW w:w="546"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3%</w:t>
            </w:r>
          </w:p>
        </w:tc>
        <w:tc>
          <w:tcPr>
            <w:tcW w:w="546"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6%</w:t>
            </w:r>
          </w:p>
        </w:tc>
        <w:tc>
          <w:tcPr>
            <w:tcW w:w="195"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9%</w:t>
            </w:r>
          </w:p>
        </w:tc>
      </w:tr>
    </w:tbl>
    <w:p w:rsidR="00592268" w:rsidRPr="00AD6F1B" w:rsidRDefault="007D1771" w:rsidP="008E0EC0">
      <w:r w:rsidRPr="00AD6F1B">
        <w:t>Average Dividend Growth: 8%</w:t>
      </w:r>
    </w:p>
    <w:p w:rsidR="007D1771" w:rsidRPr="00AD6F1B" w:rsidRDefault="007D1771" w:rsidP="008E0EC0"/>
    <w:p w:rsidR="007D1771" w:rsidRPr="00AD6F1B" w:rsidRDefault="007D1771" w:rsidP="008E0EC0">
      <w:r w:rsidRPr="00AD6F1B">
        <w:t>Cost of Equity:</w:t>
      </w:r>
    </w:p>
    <w:tbl>
      <w:tblPr>
        <w:tblW w:w="2800" w:type="dxa"/>
        <w:tblInd w:w="55" w:type="dxa"/>
        <w:tblCellMar>
          <w:left w:w="70" w:type="dxa"/>
          <w:right w:w="70" w:type="dxa"/>
        </w:tblCellMar>
        <w:tblLook w:val="04A0" w:firstRow="1" w:lastRow="0" w:firstColumn="1" w:lastColumn="0" w:noHBand="0" w:noVBand="1"/>
      </w:tblPr>
      <w:tblGrid>
        <w:gridCol w:w="1840"/>
        <w:gridCol w:w="960"/>
      </w:tblGrid>
      <w:tr w:rsidR="007D1771" w:rsidRPr="007D1771" w:rsidTr="007D1771">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Dividend Payment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$125</w:t>
            </w:r>
          </w:p>
        </w:tc>
      </w:tr>
      <w:tr w:rsidR="007D1771" w:rsidRPr="007D1771" w:rsidTr="007D1771">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Market Cap</w:t>
            </w:r>
          </w:p>
        </w:tc>
        <w:tc>
          <w:tcPr>
            <w:tcW w:w="96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$6,936</w:t>
            </w:r>
          </w:p>
        </w:tc>
      </w:tr>
      <w:tr w:rsidR="007D1771" w:rsidRPr="007D1771" w:rsidTr="007D1771">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Return</w:t>
            </w:r>
          </w:p>
        </w:tc>
        <w:tc>
          <w:tcPr>
            <w:tcW w:w="96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2%</w:t>
            </w:r>
          </w:p>
        </w:tc>
      </w:tr>
      <w:tr w:rsidR="007D1771" w:rsidRPr="007D1771" w:rsidTr="007D1771">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Growth</w:t>
            </w:r>
          </w:p>
        </w:tc>
        <w:tc>
          <w:tcPr>
            <w:tcW w:w="96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8%</w:t>
            </w:r>
          </w:p>
        </w:tc>
      </w:tr>
      <w:tr w:rsidR="007D1771" w:rsidRPr="007D1771" w:rsidTr="007D1771">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Cost of Equity</w:t>
            </w:r>
          </w:p>
        </w:tc>
        <w:tc>
          <w:tcPr>
            <w:tcW w:w="96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AD6F1B">
              <w:rPr>
                <w:rFonts w:eastAsia="Times New Roman"/>
                <w:lang w:eastAsia="fr-CA"/>
              </w:rPr>
              <w:t>9.8</w:t>
            </w:r>
            <w:r w:rsidRPr="007D1771">
              <w:rPr>
                <w:rFonts w:eastAsia="Times New Roman"/>
                <w:lang w:eastAsia="fr-CA"/>
              </w:rPr>
              <w:t>%</w:t>
            </w:r>
          </w:p>
        </w:tc>
      </w:tr>
    </w:tbl>
    <w:p w:rsidR="007D1771" w:rsidRPr="00AD6F1B" w:rsidRDefault="007D1771" w:rsidP="008E0EC0"/>
    <w:p w:rsidR="007D1771" w:rsidRPr="00AD6F1B" w:rsidRDefault="007D1771" w:rsidP="008E0EC0">
      <w:r w:rsidRPr="00AD6F1B">
        <w:t>Cost of debt:</w:t>
      </w:r>
    </w:p>
    <w:tbl>
      <w:tblPr>
        <w:tblW w:w="2800" w:type="dxa"/>
        <w:tblInd w:w="55" w:type="dxa"/>
        <w:tblCellMar>
          <w:left w:w="70" w:type="dxa"/>
          <w:right w:w="70" w:type="dxa"/>
        </w:tblCellMar>
        <w:tblLook w:val="04A0" w:firstRow="1" w:lastRow="0" w:firstColumn="1" w:lastColumn="0" w:noHBand="0" w:noVBand="1"/>
      </w:tblPr>
      <w:tblGrid>
        <w:gridCol w:w="1840"/>
        <w:gridCol w:w="960"/>
      </w:tblGrid>
      <w:tr w:rsidR="007D1771" w:rsidRPr="007D1771" w:rsidTr="007D1771">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Interest Payment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AD6F1B">
              <w:rPr>
                <w:rFonts w:eastAsia="Times New Roman"/>
                <w:lang w:eastAsia="fr-CA"/>
              </w:rPr>
              <w:t>$</w:t>
            </w:r>
            <w:r w:rsidRPr="007D1771">
              <w:rPr>
                <w:rFonts w:eastAsia="Times New Roman"/>
                <w:lang w:eastAsia="fr-CA"/>
              </w:rPr>
              <w:t>92.6</w:t>
            </w:r>
          </w:p>
        </w:tc>
      </w:tr>
      <w:tr w:rsidR="007D1771" w:rsidRPr="007D1771" w:rsidTr="007D1771">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Long Term Debt</w:t>
            </w:r>
          </w:p>
        </w:tc>
        <w:tc>
          <w:tcPr>
            <w:tcW w:w="96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AD6F1B">
              <w:rPr>
                <w:rFonts w:eastAsia="Times New Roman"/>
                <w:lang w:eastAsia="fr-CA"/>
              </w:rPr>
              <w:t>$</w:t>
            </w:r>
            <w:r w:rsidRPr="007D1771">
              <w:rPr>
                <w:rFonts w:eastAsia="Times New Roman"/>
                <w:lang w:eastAsia="fr-CA"/>
              </w:rPr>
              <w:t>822.3</w:t>
            </w:r>
          </w:p>
        </w:tc>
      </w:tr>
      <w:tr w:rsidR="007D1771" w:rsidRPr="007D1771" w:rsidTr="007D1771">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Cost of debt</w:t>
            </w:r>
          </w:p>
        </w:tc>
        <w:tc>
          <w:tcPr>
            <w:tcW w:w="96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11</w:t>
            </w:r>
            <w:r w:rsidRPr="00AD6F1B">
              <w:rPr>
                <w:rFonts w:eastAsia="Times New Roman"/>
                <w:lang w:eastAsia="fr-CA"/>
              </w:rPr>
              <w:t>.3</w:t>
            </w:r>
            <w:r w:rsidRPr="007D1771">
              <w:rPr>
                <w:rFonts w:eastAsia="Times New Roman"/>
                <w:lang w:eastAsia="fr-CA"/>
              </w:rPr>
              <w:t>%</w:t>
            </w:r>
          </w:p>
        </w:tc>
      </w:tr>
    </w:tbl>
    <w:p w:rsidR="007D1771" w:rsidRPr="00AD6F1B" w:rsidRDefault="007D1771" w:rsidP="008E0EC0"/>
    <w:p w:rsidR="007D1771" w:rsidRPr="00AD6F1B" w:rsidRDefault="007D1771" w:rsidP="008E0EC0">
      <w:r w:rsidRPr="00AD6F1B">
        <w:t>WACC</w:t>
      </w:r>
    </w:p>
    <w:tbl>
      <w:tblPr>
        <w:tblW w:w="4335" w:type="dxa"/>
        <w:tblInd w:w="55" w:type="dxa"/>
        <w:tblCellMar>
          <w:left w:w="70" w:type="dxa"/>
          <w:right w:w="70" w:type="dxa"/>
        </w:tblCellMar>
        <w:tblLook w:val="04A0" w:firstRow="1" w:lastRow="0" w:firstColumn="1" w:lastColumn="0" w:noHBand="0" w:noVBand="1"/>
      </w:tblPr>
      <w:tblGrid>
        <w:gridCol w:w="1545"/>
        <w:gridCol w:w="990"/>
        <w:gridCol w:w="990"/>
        <w:gridCol w:w="810"/>
      </w:tblGrid>
      <w:tr w:rsidR="007D1771" w:rsidRPr="007D1771" w:rsidTr="00F41B81">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Liabilities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SH Equity</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Total</w:t>
            </w:r>
          </w:p>
        </w:tc>
      </w:tr>
      <w:tr w:rsidR="007D1771" w:rsidRPr="007D1771" w:rsidTr="00F41B81">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Quantity</w:t>
            </w:r>
          </w:p>
        </w:tc>
        <w:tc>
          <w:tcPr>
            <w:tcW w:w="99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$2,940</w:t>
            </w:r>
          </w:p>
        </w:tc>
        <w:tc>
          <w:tcPr>
            <w:tcW w:w="99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$1,664</w:t>
            </w:r>
          </w:p>
        </w:tc>
        <w:tc>
          <w:tcPr>
            <w:tcW w:w="81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$4,604</w:t>
            </w:r>
          </w:p>
        </w:tc>
      </w:tr>
      <w:tr w:rsidR="007D1771" w:rsidRPr="007D1771" w:rsidTr="00F41B81">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 of total Assets</w:t>
            </w:r>
          </w:p>
        </w:tc>
        <w:tc>
          <w:tcPr>
            <w:tcW w:w="99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64%</w:t>
            </w:r>
          </w:p>
        </w:tc>
        <w:tc>
          <w:tcPr>
            <w:tcW w:w="99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36%</w:t>
            </w:r>
          </w:p>
        </w:tc>
        <w:tc>
          <w:tcPr>
            <w:tcW w:w="81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100.0%</w:t>
            </w:r>
          </w:p>
        </w:tc>
      </w:tr>
      <w:tr w:rsidR="007D1771" w:rsidRPr="007D1771" w:rsidTr="00F41B81">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Cost</w:t>
            </w:r>
          </w:p>
        </w:tc>
        <w:tc>
          <w:tcPr>
            <w:tcW w:w="99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11.3%</w:t>
            </w:r>
          </w:p>
        </w:tc>
        <w:tc>
          <w:tcPr>
            <w:tcW w:w="99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9.8%</w:t>
            </w:r>
          </w:p>
        </w:tc>
        <w:tc>
          <w:tcPr>
            <w:tcW w:w="81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21.1%</w:t>
            </w:r>
          </w:p>
        </w:tc>
      </w:tr>
      <w:tr w:rsidR="007D1771" w:rsidRPr="007D1771" w:rsidTr="00F41B81">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Weighted Cost</w:t>
            </w:r>
          </w:p>
        </w:tc>
        <w:tc>
          <w:tcPr>
            <w:tcW w:w="99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7.2%</w:t>
            </w:r>
          </w:p>
        </w:tc>
        <w:tc>
          <w:tcPr>
            <w:tcW w:w="99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3.5%</w:t>
            </w:r>
          </w:p>
        </w:tc>
        <w:tc>
          <w:tcPr>
            <w:tcW w:w="810" w:type="dxa"/>
            <w:tcBorders>
              <w:top w:val="nil"/>
              <w:left w:val="nil"/>
              <w:bottom w:val="single" w:sz="4" w:space="0" w:color="auto"/>
              <w:right w:val="single" w:sz="4" w:space="0" w:color="auto"/>
            </w:tcBorders>
            <w:shd w:val="clear" w:color="auto" w:fill="auto"/>
            <w:noWrap/>
            <w:vAlign w:val="bottom"/>
            <w:hideMark/>
          </w:tcPr>
          <w:p w:rsidR="007D1771" w:rsidRPr="007D1771" w:rsidRDefault="007D1771" w:rsidP="008E0EC0">
            <w:pPr>
              <w:rPr>
                <w:rFonts w:eastAsia="Times New Roman"/>
                <w:lang w:eastAsia="fr-CA"/>
              </w:rPr>
            </w:pPr>
            <w:r w:rsidRPr="007D1771">
              <w:rPr>
                <w:rFonts w:eastAsia="Times New Roman"/>
                <w:lang w:eastAsia="fr-CA"/>
              </w:rPr>
              <w:t>10.7%</w:t>
            </w:r>
          </w:p>
        </w:tc>
      </w:tr>
    </w:tbl>
    <w:p w:rsidR="00CE748B" w:rsidRDefault="00CE748B" w:rsidP="008E0EC0">
      <w:pPr>
        <w:sectPr w:rsidR="00CE748B" w:rsidSect="00CE748B">
          <w:type w:val="continuous"/>
          <w:pgSz w:w="12240" w:h="15840"/>
          <w:pgMar w:top="1440" w:right="1440" w:bottom="1440" w:left="1440" w:header="720" w:footer="720" w:gutter="0"/>
          <w:cols w:num="2" w:space="720"/>
          <w:docGrid w:linePitch="360"/>
        </w:sectPr>
      </w:pPr>
    </w:p>
    <w:p w:rsidR="007D1771" w:rsidRDefault="007D1771" w:rsidP="008E0EC0"/>
    <w:p w:rsidR="00CE748B" w:rsidRDefault="00CE748B" w:rsidP="008E0EC0"/>
    <w:p w:rsidR="00CE748B" w:rsidRPr="00AD6F1B" w:rsidRDefault="00CE748B" w:rsidP="008E0EC0"/>
    <w:p w:rsidR="00234376" w:rsidRPr="00AD6F1B" w:rsidRDefault="00234376" w:rsidP="002C0AB7">
      <w:pPr>
        <w:pStyle w:val="Heading1"/>
      </w:pPr>
      <w:r w:rsidRPr="00AD6F1B">
        <w:t>Exhibit B: Profitability of ATMs</w:t>
      </w:r>
    </w:p>
    <w:tbl>
      <w:tblPr>
        <w:tblW w:w="5700" w:type="dxa"/>
        <w:tblInd w:w="55" w:type="dxa"/>
        <w:tblCellMar>
          <w:left w:w="70" w:type="dxa"/>
          <w:right w:w="70" w:type="dxa"/>
        </w:tblCellMar>
        <w:tblLook w:val="04A0" w:firstRow="1" w:lastRow="0" w:firstColumn="1" w:lastColumn="0" w:noHBand="0" w:noVBand="1"/>
      </w:tblPr>
      <w:tblGrid>
        <w:gridCol w:w="405"/>
        <w:gridCol w:w="3636"/>
        <w:gridCol w:w="1720"/>
      </w:tblGrid>
      <w:tr w:rsidR="00234376" w:rsidRPr="00234376" w:rsidTr="00234376">
        <w:trPr>
          <w:trHeight w:val="300"/>
        </w:trPr>
        <w:tc>
          <w:tcPr>
            <w:tcW w:w="3980" w:type="dxa"/>
            <w:gridSpan w:val="2"/>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Revenues</w:t>
            </w:r>
          </w:p>
        </w:tc>
        <w:tc>
          <w:tcPr>
            <w:tcW w:w="1720"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r>
      <w:tr w:rsidR="00234376" w:rsidRPr="00234376" w:rsidTr="00234376">
        <w:trPr>
          <w:trHeight w:val="300"/>
        </w:trPr>
        <w:tc>
          <w:tcPr>
            <w:tcW w:w="344"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3636"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 ATMs</w:t>
            </w:r>
          </w:p>
        </w:tc>
        <w:tc>
          <w:tcPr>
            <w:tcW w:w="1720"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200</w:t>
            </w:r>
          </w:p>
        </w:tc>
      </w:tr>
      <w:tr w:rsidR="00234376" w:rsidRPr="00234376" w:rsidTr="00234376">
        <w:trPr>
          <w:trHeight w:val="300"/>
        </w:trPr>
        <w:tc>
          <w:tcPr>
            <w:tcW w:w="344"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3636"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 checks cashed</w:t>
            </w:r>
          </w:p>
        </w:tc>
        <w:tc>
          <w:tcPr>
            <w:tcW w:w="1720"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110000</w:t>
            </w:r>
          </w:p>
        </w:tc>
      </w:tr>
      <w:tr w:rsidR="00234376" w:rsidRPr="00234376" w:rsidTr="00234376">
        <w:trPr>
          <w:trHeight w:val="300"/>
        </w:trPr>
        <w:tc>
          <w:tcPr>
            <w:tcW w:w="344"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3636"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Total Value of checks</w:t>
            </w:r>
          </w:p>
        </w:tc>
        <w:tc>
          <w:tcPr>
            <w:tcW w:w="1720"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$220,000,000</w:t>
            </w:r>
          </w:p>
        </w:tc>
      </w:tr>
      <w:tr w:rsidR="00234376" w:rsidRPr="00234376" w:rsidTr="00234376">
        <w:trPr>
          <w:trHeight w:val="300"/>
        </w:trPr>
        <w:tc>
          <w:tcPr>
            <w:tcW w:w="344"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3636" w:type="dxa"/>
            <w:tcBorders>
              <w:top w:val="nil"/>
              <w:left w:val="nil"/>
              <w:bottom w:val="single" w:sz="4" w:space="0" w:color="auto"/>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 xml:space="preserve">revenues from 3% </w:t>
            </w:r>
            <w:r w:rsidR="00F41B81" w:rsidRPr="00234376">
              <w:rPr>
                <w:rFonts w:eastAsia="Times New Roman"/>
                <w:lang w:eastAsia="fr-CA"/>
              </w:rPr>
              <w:t>commission</w:t>
            </w:r>
          </w:p>
        </w:tc>
        <w:tc>
          <w:tcPr>
            <w:tcW w:w="1720" w:type="dxa"/>
            <w:tcBorders>
              <w:top w:val="nil"/>
              <w:left w:val="nil"/>
              <w:bottom w:val="single" w:sz="4" w:space="0" w:color="auto"/>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$6,600,000</w:t>
            </w:r>
          </w:p>
        </w:tc>
      </w:tr>
      <w:tr w:rsidR="00234376" w:rsidRPr="00234376" w:rsidTr="00234376">
        <w:trPr>
          <w:trHeight w:val="300"/>
        </w:trPr>
        <w:tc>
          <w:tcPr>
            <w:tcW w:w="344"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3636"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Average revenue/ATM</w:t>
            </w:r>
          </w:p>
        </w:tc>
        <w:tc>
          <w:tcPr>
            <w:tcW w:w="1720"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$33,000</w:t>
            </w:r>
          </w:p>
        </w:tc>
      </w:tr>
      <w:tr w:rsidR="00234376" w:rsidRPr="00234376" w:rsidTr="00234376">
        <w:trPr>
          <w:trHeight w:val="300"/>
        </w:trPr>
        <w:tc>
          <w:tcPr>
            <w:tcW w:w="344"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3636"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1720"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r>
      <w:tr w:rsidR="00234376" w:rsidRPr="00234376" w:rsidTr="00234376">
        <w:trPr>
          <w:trHeight w:val="300"/>
        </w:trPr>
        <w:tc>
          <w:tcPr>
            <w:tcW w:w="3980" w:type="dxa"/>
            <w:gridSpan w:val="2"/>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Costs</w:t>
            </w:r>
          </w:p>
        </w:tc>
        <w:tc>
          <w:tcPr>
            <w:tcW w:w="1720"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r>
      <w:tr w:rsidR="00234376" w:rsidRPr="00234376" w:rsidTr="00234376">
        <w:trPr>
          <w:trHeight w:val="300"/>
        </w:trPr>
        <w:tc>
          <w:tcPr>
            <w:tcW w:w="344"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3636"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Annual maintenance</w:t>
            </w:r>
          </w:p>
        </w:tc>
        <w:tc>
          <w:tcPr>
            <w:tcW w:w="1720"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$35,000</w:t>
            </w:r>
          </w:p>
        </w:tc>
      </w:tr>
      <w:tr w:rsidR="00234376" w:rsidRPr="00234376" w:rsidTr="00234376">
        <w:trPr>
          <w:trHeight w:val="300"/>
        </w:trPr>
        <w:tc>
          <w:tcPr>
            <w:tcW w:w="344"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3636"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Depreciation (15k$CAPEX/5y)</w:t>
            </w:r>
          </w:p>
        </w:tc>
        <w:tc>
          <w:tcPr>
            <w:tcW w:w="1720"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$3,000</w:t>
            </w:r>
          </w:p>
        </w:tc>
      </w:tr>
      <w:tr w:rsidR="00234376" w:rsidRPr="00234376" w:rsidTr="00234376">
        <w:trPr>
          <w:trHeight w:val="300"/>
        </w:trPr>
        <w:tc>
          <w:tcPr>
            <w:tcW w:w="344"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3636" w:type="dxa"/>
            <w:tcBorders>
              <w:top w:val="nil"/>
              <w:left w:val="nil"/>
              <w:bottom w:val="single" w:sz="4" w:space="0" w:color="auto"/>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Cost of working capital (220k$@10.7%)</w:t>
            </w:r>
          </w:p>
        </w:tc>
        <w:tc>
          <w:tcPr>
            <w:tcW w:w="1720" w:type="dxa"/>
            <w:tcBorders>
              <w:top w:val="nil"/>
              <w:left w:val="nil"/>
              <w:bottom w:val="single" w:sz="4" w:space="0" w:color="auto"/>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$23,540</w:t>
            </w:r>
          </w:p>
        </w:tc>
      </w:tr>
      <w:tr w:rsidR="00234376" w:rsidRPr="00234376" w:rsidTr="00234376">
        <w:trPr>
          <w:trHeight w:val="300"/>
        </w:trPr>
        <w:tc>
          <w:tcPr>
            <w:tcW w:w="344"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3636"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Total cost/ATM</w:t>
            </w:r>
          </w:p>
        </w:tc>
        <w:tc>
          <w:tcPr>
            <w:tcW w:w="1720"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$61,540</w:t>
            </w:r>
          </w:p>
        </w:tc>
      </w:tr>
      <w:tr w:rsidR="00234376" w:rsidRPr="00234376" w:rsidTr="00234376">
        <w:trPr>
          <w:trHeight w:val="300"/>
        </w:trPr>
        <w:tc>
          <w:tcPr>
            <w:tcW w:w="344"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3636"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c>
          <w:tcPr>
            <w:tcW w:w="1720" w:type="dxa"/>
            <w:tcBorders>
              <w:top w:val="nil"/>
              <w:left w:val="nil"/>
              <w:bottom w:val="nil"/>
              <w:right w:val="nil"/>
            </w:tcBorders>
            <w:shd w:val="clear" w:color="auto" w:fill="auto"/>
            <w:noWrap/>
            <w:vAlign w:val="bottom"/>
            <w:hideMark/>
          </w:tcPr>
          <w:p w:rsidR="00234376" w:rsidRPr="00234376" w:rsidRDefault="00234376" w:rsidP="008E0EC0">
            <w:pPr>
              <w:rPr>
                <w:rFonts w:eastAsia="Times New Roman"/>
                <w:lang w:eastAsia="fr-CA"/>
              </w:rPr>
            </w:pPr>
          </w:p>
        </w:tc>
      </w:tr>
      <w:tr w:rsidR="00234376" w:rsidRPr="00234376" w:rsidTr="00234376">
        <w:trPr>
          <w:trHeight w:val="300"/>
        </w:trPr>
        <w:tc>
          <w:tcPr>
            <w:tcW w:w="344" w:type="dxa"/>
            <w:tcBorders>
              <w:top w:val="single" w:sz="4" w:space="0" w:color="auto"/>
              <w:left w:val="nil"/>
              <w:bottom w:val="single" w:sz="4" w:space="0" w:color="auto"/>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P/L</w:t>
            </w:r>
          </w:p>
        </w:tc>
        <w:tc>
          <w:tcPr>
            <w:tcW w:w="3636" w:type="dxa"/>
            <w:tcBorders>
              <w:top w:val="single" w:sz="4" w:space="0" w:color="auto"/>
              <w:left w:val="nil"/>
              <w:bottom w:val="single" w:sz="4" w:space="0" w:color="auto"/>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 </w:t>
            </w:r>
          </w:p>
        </w:tc>
        <w:tc>
          <w:tcPr>
            <w:tcW w:w="1720" w:type="dxa"/>
            <w:tcBorders>
              <w:top w:val="single" w:sz="4" w:space="0" w:color="auto"/>
              <w:left w:val="nil"/>
              <w:bottom w:val="single" w:sz="4" w:space="0" w:color="auto"/>
              <w:right w:val="nil"/>
            </w:tcBorders>
            <w:shd w:val="clear" w:color="auto" w:fill="auto"/>
            <w:noWrap/>
            <w:vAlign w:val="bottom"/>
            <w:hideMark/>
          </w:tcPr>
          <w:p w:rsidR="00234376" w:rsidRPr="00234376" w:rsidRDefault="00234376" w:rsidP="008E0EC0">
            <w:pPr>
              <w:rPr>
                <w:rFonts w:eastAsia="Times New Roman"/>
                <w:lang w:eastAsia="fr-CA"/>
              </w:rPr>
            </w:pPr>
            <w:r w:rsidRPr="00234376">
              <w:rPr>
                <w:rFonts w:eastAsia="Times New Roman"/>
                <w:lang w:eastAsia="fr-CA"/>
              </w:rPr>
              <w:t>-$28,540</w:t>
            </w:r>
          </w:p>
        </w:tc>
      </w:tr>
    </w:tbl>
    <w:p w:rsidR="00234376" w:rsidRDefault="00234376" w:rsidP="008E0EC0"/>
    <w:p w:rsidR="00EE3666" w:rsidRPr="00AD6F1B" w:rsidRDefault="00EE3666" w:rsidP="008E0EC0"/>
    <w:p w:rsidR="00CE748B" w:rsidRDefault="00CE748B">
      <w:pPr>
        <w:rPr>
          <w:rFonts w:asciiTheme="majorHAnsi" w:eastAsiaTheme="majorEastAsia" w:hAnsiTheme="majorHAnsi" w:cstheme="majorBidi"/>
          <w:b/>
          <w:bCs/>
          <w:color w:val="622423" w:themeColor="accent2" w:themeShade="7F"/>
          <w:sz w:val="22"/>
          <w:szCs w:val="22"/>
        </w:rPr>
      </w:pPr>
      <w:r>
        <w:br w:type="page"/>
      </w:r>
    </w:p>
    <w:p w:rsidR="00EE3666" w:rsidRDefault="00EE3666" w:rsidP="002C0AB7">
      <w:pPr>
        <w:pStyle w:val="Heading1"/>
      </w:pPr>
      <w:r>
        <w:lastRenderedPageBreak/>
        <w:t>Exhibit C: EPS Experiment Effect on Income</w:t>
      </w:r>
    </w:p>
    <w:p w:rsidR="00EE3666" w:rsidRDefault="00EE3666" w:rsidP="008E0EC0"/>
    <w:p w:rsidR="00EE3666" w:rsidRDefault="00EE3666" w:rsidP="008E0EC0">
      <w:r>
        <w:t>The following tables show effect on income and profits, all numbers in ‘000</w:t>
      </w:r>
    </w:p>
    <w:p w:rsidR="00EE3666" w:rsidRDefault="00EE3666" w:rsidP="008E0EC0"/>
    <w:tbl>
      <w:tblPr>
        <w:tblW w:w="7010" w:type="dxa"/>
        <w:jc w:val="center"/>
        <w:tblLook w:val="04A0" w:firstRow="1" w:lastRow="0" w:firstColumn="1" w:lastColumn="0" w:noHBand="0" w:noVBand="1"/>
      </w:tblPr>
      <w:tblGrid>
        <w:gridCol w:w="2540"/>
        <w:gridCol w:w="2400"/>
        <w:gridCol w:w="2070"/>
      </w:tblGrid>
      <w:tr w:rsidR="00EE3666" w:rsidRPr="00B62EF5" w:rsidTr="00EE3666">
        <w:trPr>
          <w:trHeight w:val="215"/>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3666" w:rsidRPr="00B62EF5" w:rsidRDefault="00EE3666" w:rsidP="00EE3666">
            <w:pPr>
              <w:rPr>
                <w:rFonts w:ascii="Calibri" w:eastAsia="Times New Roman" w:hAnsi="Calibri" w:cs="Times New Roman"/>
                <w:b/>
                <w:bCs/>
                <w:iCs w:val="0"/>
                <w:color w:val="000000"/>
                <w:sz w:val="22"/>
                <w:szCs w:val="22"/>
              </w:rPr>
            </w:pPr>
            <w:r w:rsidRPr="00B62EF5">
              <w:rPr>
                <w:rFonts w:ascii="Calibri" w:eastAsia="Times New Roman" w:hAnsi="Calibri" w:cs="Times New Roman"/>
                <w:b/>
                <w:bCs/>
                <w:iCs w:val="0"/>
                <w:color w:val="000000"/>
                <w:sz w:val="22"/>
                <w:szCs w:val="22"/>
              </w:rPr>
              <w:t xml:space="preserve">Revenue/EFS Store </w:t>
            </w:r>
          </w:p>
        </w:tc>
        <w:tc>
          <w:tcPr>
            <w:tcW w:w="2400" w:type="dxa"/>
            <w:tcBorders>
              <w:top w:val="single" w:sz="4" w:space="0" w:color="auto"/>
              <w:left w:val="nil"/>
              <w:bottom w:val="single" w:sz="4" w:space="0" w:color="auto"/>
              <w:right w:val="single" w:sz="4" w:space="0" w:color="auto"/>
            </w:tcBorders>
            <w:shd w:val="clear" w:color="auto" w:fill="auto"/>
            <w:vAlign w:val="bottom"/>
            <w:hideMark/>
          </w:tcPr>
          <w:p w:rsidR="00EE3666" w:rsidRPr="00B62EF5" w:rsidRDefault="00EE3666" w:rsidP="00EE3666">
            <w:pPr>
              <w:rPr>
                <w:rFonts w:ascii="Calibri" w:eastAsia="Times New Roman" w:hAnsi="Calibri" w:cs="Times New Roman"/>
                <w:b/>
                <w:bCs/>
                <w:iCs w:val="0"/>
                <w:color w:val="000000"/>
                <w:sz w:val="22"/>
                <w:szCs w:val="22"/>
              </w:rPr>
            </w:pPr>
            <w:r w:rsidRPr="00B62EF5">
              <w:rPr>
                <w:rFonts w:ascii="Calibri" w:eastAsia="Times New Roman" w:hAnsi="Calibri" w:cs="Times New Roman"/>
                <w:b/>
                <w:bCs/>
                <w:iCs w:val="0"/>
                <w:color w:val="000000"/>
                <w:sz w:val="22"/>
                <w:szCs w:val="22"/>
              </w:rPr>
              <w:t>Total Revenues (1550 Stores)</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rsidR="00EE3666" w:rsidRPr="00B62EF5" w:rsidRDefault="00EE3666" w:rsidP="00EE3666">
            <w:pPr>
              <w:rPr>
                <w:rFonts w:ascii="Calibri" w:eastAsia="Times New Roman" w:hAnsi="Calibri" w:cs="Times New Roman"/>
                <w:b/>
                <w:bCs/>
                <w:iCs w:val="0"/>
                <w:color w:val="000000"/>
                <w:sz w:val="22"/>
                <w:szCs w:val="22"/>
              </w:rPr>
            </w:pPr>
            <w:r w:rsidRPr="00B62EF5">
              <w:rPr>
                <w:rFonts w:ascii="Calibri" w:eastAsia="Times New Roman" w:hAnsi="Calibri" w:cs="Times New Roman"/>
                <w:b/>
                <w:bCs/>
                <w:iCs w:val="0"/>
                <w:color w:val="000000"/>
                <w:sz w:val="22"/>
                <w:szCs w:val="22"/>
              </w:rPr>
              <w:t>Profits @20%</w:t>
            </w:r>
          </w:p>
        </w:tc>
      </w:tr>
      <w:tr w:rsidR="00EE3666" w:rsidRPr="00B62EF5" w:rsidTr="00EE3666">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EE3666" w:rsidRPr="00B62EF5" w:rsidRDefault="00EE3666" w:rsidP="00EE3666">
            <w:pPr>
              <w:jc w:val="right"/>
              <w:rPr>
                <w:rFonts w:ascii="Calibri" w:eastAsia="Times New Roman" w:hAnsi="Calibri" w:cs="Times New Roman"/>
                <w:iCs w:val="0"/>
                <w:color w:val="000000"/>
                <w:sz w:val="22"/>
                <w:szCs w:val="22"/>
              </w:rPr>
            </w:pPr>
            <w:r w:rsidRPr="00B62EF5">
              <w:rPr>
                <w:rFonts w:ascii="Calibri" w:eastAsia="Times New Roman" w:hAnsi="Calibri" w:cs="Times New Roman"/>
                <w:iCs w:val="0"/>
                <w:color w:val="000000"/>
                <w:sz w:val="22"/>
                <w:szCs w:val="22"/>
              </w:rPr>
              <w:t>$197</w:t>
            </w:r>
          </w:p>
        </w:tc>
        <w:tc>
          <w:tcPr>
            <w:tcW w:w="2400" w:type="dxa"/>
            <w:tcBorders>
              <w:top w:val="nil"/>
              <w:left w:val="nil"/>
              <w:bottom w:val="single" w:sz="4" w:space="0" w:color="auto"/>
              <w:right w:val="single" w:sz="4" w:space="0" w:color="auto"/>
            </w:tcBorders>
            <w:shd w:val="clear" w:color="auto" w:fill="auto"/>
            <w:noWrap/>
            <w:vAlign w:val="bottom"/>
            <w:hideMark/>
          </w:tcPr>
          <w:p w:rsidR="00EE3666" w:rsidRPr="00B62EF5" w:rsidRDefault="00EE3666" w:rsidP="00EE3666">
            <w:pPr>
              <w:jc w:val="right"/>
              <w:rPr>
                <w:rFonts w:ascii="Calibri" w:eastAsia="Times New Roman" w:hAnsi="Calibri" w:cs="Times New Roman"/>
                <w:iCs w:val="0"/>
                <w:color w:val="000000"/>
                <w:sz w:val="22"/>
                <w:szCs w:val="22"/>
              </w:rPr>
            </w:pPr>
            <w:r w:rsidRPr="00B62EF5">
              <w:rPr>
                <w:rFonts w:ascii="Calibri" w:eastAsia="Times New Roman" w:hAnsi="Calibri" w:cs="Times New Roman"/>
                <w:iCs w:val="0"/>
                <w:color w:val="000000"/>
                <w:sz w:val="22"/>
                <w:szCs w:val="22"/>
              </w:rPr>
              <w:t>$305,350</w:t>
            </w:r>
          </w:p>
        </w:tc>
        <w:tc>
          <w:tcPr>
            <w:tcW w:w="2070" w:type="dxa"/>
            <w:tcBorders>
              <w:top w:val="nil"/>
              <w:left w:val="nil"/>
              <w:bottom w:val="single" w:sz="4" w:space="0" w:color="auto"/>
              <w:right w:val="single" w:sz="4" w:space="0" w:color="auto"/>
            </w:tcBorders>
            <w:shd w:val="clear" w:color="auto" w:fill="auto"/>
            <w:noWrap/>
            <w:vAlign w:val="bottom"/>
            <w:hideMark/>
          </w:tcPr>
          <w:p w:rsidR="00EE3666" w:rsidRPr="00B62EF5" w:rsidRDefault="00EE3666" w:rsidP="00EE3666">
            <w:pPr>
              <w:jc w:val="right"/>
              <w:rPr>
                <w:rFonts w:ascii="Calibri" w:eastAsia="Times New Roman" w:hAnsi="Calibri" w:cs="Times New Roman"/>
                <w:iCs w:val="0"/>
                <w:color w:val="000000"/>
                <w:sz w:val="22"/>
                <w:szCs w:val="22"/>
              </w:rPr>
            </w:pPr>
            <w:r w:rsidRPr="00B62EF5">
              <w:rPr>
                <w:rFonts w:ascii="Calibri" w:eastAsia="Times New Roman" w:hAnsi="Calibri" w:cs="Times New Roman"/>
                <w:iCs w:val="0"/>
                <w:color w:val="000000"/>
                <w:sz w:val="22"/>
                <w:szCs w:val="22"/>
              </w:rPr>
              <w:t>$61,070</w:t>
            </w:r>
          </w:p>
        </w:tc>
      </w:tr>
      <w:tr w:rsidR="00EE3666" w:rsidRPr="00B62EF5" w:rsidTr="00EE3666">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EE3666" w:rsidRPr="00B62EF5" w:rsidRDefault="00EE3666" w:rsidP="00EE3666">
            <w:pPr>
              <w:jc w:val="right"/>
              <w:rPr>
                <w:rFonts w:ascii="Calibri" w:eastAsia="Times New Roman" w:hAnsi="Calibri" w:cs="Times New Roman"/>
                <w:iCs w:val="0"/>
                <w:color w:val="000000"/>
                <w:sz w:val="22"/>
                <w:szCs w:val="22"/>
              </w:rPr>
            </w:pPr>
            <w:r w:rsidRPr="00B62EF5">
              <w:rPr>
                <w:rFonts w:ascii="Calibri" w:eastAsia="Times New Roman" w:hAnsi="Calibri" w:cs="Times New Roman"/>
                <w:iCs w:val="0"/>
                <w:color w:val="000000"/>
                <w:sz w:val="22"/>
                <w:szCs w:val="22"/>
              </w:rPr>
              <w:t>$267</w:t>
            </w:r>
          </w:p>
        </w:tc>
        <w:tc>
          <w:tcPr>
            <w:tcW w:w="2400" w:type="dxa"/>
            <w:tcBorders>
              <w:top w:val="nil"/>
              <w:left w:val="nil"/>
              <w:bottom w:val="single" w:sz="4" w:space="0" w:color="auto"/>
              <w:right w:val="single" w:sz="4" w:space="0" w:color="auto"/>
            </w:tcBorders>
            <w:shd w:val="clear" w:color="auto" w:fill="auto"/>
            <w:noWrap/>
            <w:vAlign w:val="bottom"/>
            <w:hideMark/>
          </w:tcPr>
          <w:p w:rsidR="00EE3666" w:rsidRPr="00B62EF5" w:rsidRDefault="00EE3666" w:rsidP="00EE3666">
            <w:pPr>
              <w:jc w:val="right"/>
              <w:rPr>
                <w:rFonts w:ascii="Calibri" w:eastAsia="Times New Roman" w:hAnsi="Calibri" w:cs="Times New Roman"/>
                <w:iCs w:val="0"/>
                <w:color w:val="000000"/>
                <w:sz w:val="22"/>
                <w:szCs w:val="22"/>
              </w:rPr>
            </w:pPr>
            <w:r w:rsidRPr="00B62EF5">
              <w:rPr>
                <w:rFonts w:ascii="Calibri" w:eastAsia="Times New Roman" w:hAnsi="Calibri" w:cs="Times New Roman"/>
                <w:iCs w:val="0"/>
                <w:color w:val="000000"/>
                <w:sz w:val="22"/>
                <w:szCs w:val="22"/>
              </w:rPr>
              <w:t>$413,850</w:t>
            </w:r>
          </w:p>
        </w:tc>
        <w:tc>
          <w:tcPr>
            <w:tcW w:w="2070" w:type="dxa"/>
            <w:tcBorders>
              <w:top w:val="nil"/>
              <w:left w:val="nil"/>
              <w:bottom w:val="single" w:sz="4" w:space="0" w:color="auto"/>
              <w:right w:val="single" w:sz="4" w:space="0" w:color="auto"/>
            </w:tcBorders>
            <w:shd w:val="clear" w:color="auto" w:fill="auto"/>
            <w:noWrap/>
            <w:vAlign w:val="bottom"/>
            <w:hideMark/>
          </w:tcPr>
          <w:p w:rsidR="00EE3666" w:rsidRPr="00B62EF5" w:rsidRDefault="00EE3666" w:rsidP="00EE3666">
            <w:pPr>
              <w:jc w:val="right"/>
              <w:rPr>
                <w:rFonts w:ascii="Calibri" w:eastAsia="Times New Roman" w:hAnsi="Calibri" w:cs="Times New Roman"/>
                <w:iCs w:val="0"/>
                <w:color w:val="000000"/>
                <w:sz w:val="22"/>
                <w:szCs w:val="22"/>
              </w:rPr>
            </w:pPr>
            <w:r w:rsidRPr="00B62EF5">
              <w:rPr>
                <w:rFonts w:ascii="Calibri" w:eastAsia="Times New Roman" w:hAnsi="Calibri" w:cs="Times New Roman"/>
                <w:iCs w:val="0"/>
                <w:color w:val="000000"/>
                <w:sz w:val="22"/>
                <w:szCs w:val="22"/>
              </w:rPr>
              <w:t>$82,770</w:t>
            </w:r>
          </w:p>
        </w:tc>
      </w:tr>
    </w:tbl>
    <w:p w:rsidR="007D1771" w:rsidRDefault="00EE3666" w:rsidP="008E0EC0">
      <w:r>
        <w:t xml:space="preserve"> </w:t>
      </w:r>
    </w:p>
    <w:tbl>
      <w:tblPr>
        <w:tblW w:w="9140" w:type="dxa"/>
        <w:tblInd w:w="113" w:type="dxa"/>
        <w:tblLook w:val="04A0" w:firstRow="1" w:lastRow="0" w:firstColumn="1" w:lastColumn="0" w:noHBand="0" w:noVBand="1"/>
      </w:tblPr>
      <w:tblGrid>
        <w:gridCol w:w="2155"/>
        <w:gridCol w:w="2105"/>
        <w:gridCol w:w="2440"/>
        <w:gridCol w:w="2440"/>
      </w:tblGrid>
      <w:tr w:rsidR="00EE3666" w:rsidRPr="00EE3666" w:rsidTr="00EE3666">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666" w:rsidRPr="00EE3666" w:rsidRDefault="00EE3666" w:rsidP="00EE3666">
            <w:pPr>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rsidR="00EE3666" w:rsidRPr="00EE3666" w:rsidRDefault="00EE3666" w:rsidP="00EE3666">
            <w:pPr>
              <w:rPr>
                <w:rFonts w:ascii="Calibri" w:eastAsia="Times New Roman" w:hAnsi="Calibri" w:cs="Times New Roman"/>
                <w:b/>
                <w:bCs/>
                <w:iCs w:val="0"/>
                <w:color w:val="000000"/>
                <w:sz w:val="22"/>
                <w:szCs w:val="22"/>
              </w:rPr>
            </w:pPr>
            <w:r w:rsidRPr="00EE3666">
              <w:rPr>
                <w:rFonts w:ascii="Calibri" w:eastAsia="Times New Roman" w:hAnsi="Calibri" w:cs="Times New Roman"/>
                <w:b/>
                <w:bCs/>
                <w:iCs w:val="0"/>
                <w:color w:val="000000"/>
                <w:sz w:val="22"/>
                <w:szCs w:val="22"/>
              </w:rPr>
              <w:t>Operating Income</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EE3666" w:rsidRPr="00EE3666" w:rsidRDefault="00EE3666" w:rsidP="00EE3666">
            <w:pPr>
              <w:rPr>
                <w:rFonts w:ascii="Calibri" w:eastAsia="Times New Roman" w:hAnsi="Calibri" w:cs="Times New Roman"/>
                <w:b/>
                <w:bCs/>
                <w:iCs w:val="0"/>
                <w:color w:val="000000"/>
                <w:sz w:val="22"/>
                <w:szCs w:val="22"/>
              </w:rPr>
            </w:pPr>
            <w:r w:rsidRPr="00EE3666">
              <w:rPr>
                <w:rFonts w:ascii="Calibri" w:eastAsia="Times New Roman" w:hAnsi="Calibri" w:cs="Times New Roman"/>
                <w:b/>
                <w:bCs/>
                <w:iCs w:val="0"/>
                <w:color w:val="000000"/>
                <w:sz w:val="22"/>
                <w:szCs w:val="22"/>
              </w:rPr>
              <w:t xml:space="preserve">New Revenues W/ </w:t>
            </w:r>
            <w:r>
              <w:rPr>
                <w:rFonts w:ascii="Calibri" w:eastAsia="Times New Roman" w:hAnsi="Calibri" w:cs="Times New Roman"/>
                <w:b/>
                <w:bCs/>
                <w:iCs w:val="0"/>
                <w:color w:val="000000"/>
                <w:sz w:val="22"/>
                <w:szCs w:val="22"/>
              </w:rPr>
              <w:t>EFS</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EE3666" w:rsidRPr="00EE3666" w:rsidRDefault="00EE3666" w:rsidP="00EE3666">
            <w:pPr>
              <w:rPr>
                <w:rFonts w:ascii="Calibri" w:eastAsia="Times New Roman" w:hAnsi="Calibri" w:cs="Times New Roman"/>
                <w:b/>
                <w:bCs/>
                <w:iCs w:val="0"/>
                <w:color w:val="000000"/>
                <w:sz w:val="22"/>
                <w:szCs w:val="22"/>
              </w:rPr>
            </w:pPr>
            <w:r w:rsidRPr="00EE3666">
              <w:rPr>
                <w:rFonts w:ascii="Calibri" w:eastAsia="Times New Roman" w:hAnsi="Calibri" w:cs="Times New Roman"/>
                <w:b/>
                <w:bCs/>
                <w:iCs w:val="0"/>
                <w:color w:val="000000"/>
                <w:sz w:val="22"/>
                <w:szCs w:val="22"/>
              </w:rPr>
              <w:t>Increase</w:t>
            </w:r>
          </w:p>
        </w:tc>
      </w:tr>
      <w:tr w:rsidR="00EE3666" w:rsidRPr="00EE3666" w:rsidTr="00EE3666">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EE3666" w:rsidRPr="00EE3666" w:rsidRDefault="00EE3666" w:rsidP="00EE3666">
            <w:pPr>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Existing Revenues</w:t>
            </w:r>
          </w:p>
        </w:tc>
        <w:tc>
          <w:tcPr>
            <w:tcW w:w="2105" w:type="dxa"/>
            <w:tcBorders>
              <w:top w:val="nil"/>
              <w:left w:val="nil"/>
              <w:bottom w:val="single" w:sz="4" w:space="0" w:color="auto"/>
              <w:right w:val="single" w:sz="4" w:space="0" w:color="auto"/>
            </w:tcBorders>
            <w:shd w:val="clear" w:color="auto" w:fill="auto"/>
            <w:noWrap/>
            <w:vAlign w:val="bottom"/>
            <w:hideMark/>
          </w:tcPr>
          <w:p w:rsidR="00EE3666" w:rsidRPr="00EE3666" w:rsidRDefault="00EE3666" w:rsidP="00EE3666">
            <w:pPr>
              <w:jc w:val="right"/>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$3,779,000</w:t>
            </w:r>
          </w:p>
        </w:tc>
        <w:tc>
          <w:tcPr>
            <w:tcW w:w="2440" w:type="dxa"/>
            <w:tcBorders>
              <w:top w:val="nil"/>
              <w:left w:val="nil"/>
              <w:bottom w:val="single" w:sz="4" w:space="0" w:color="auto"/>
              <w:right w:val="single" w:sz="4" w:space="0" w:color="auto"/>
            </w:tcBorders>
            <w:shd w:val="clear" w:color="auto" w:fill="auto"/>
            <w:noWrap/>
            <w:vAlign w:val="bottom"/>
            <w:hideMark/>
          </w:tcPr>
          <w:p w:rsidR="00EE3666" w:rsidRPr="00EE3666" w:rsidRDefault="00EE3666" w:rsidP="00EE3666">
            <w:pPr>
              <w:jc w:val="right"/>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$4,138,600</w:t>
            </w:r>
          </w:p>
        </w:tc>
        <w:tc>
          <w:tcPr>
            <w:tcW w:w="2440" w:type="dxa"/>
            <w:tcBorders>
              <w:top w:val="nil"/>
              <w:left w:val="nil"/>
              <w:bottom w:val="single" w:sz="4" w:space="0" w:color="auto"/>
              <w:right w:val="single" w:sz="4" w:space="0" w:color="auto"/>
            </w:tcBorders>
            <w:shd w:val="clear" w:color="auto" w:fill="auto"/>
            <w:noWrap/>
            <w:vAlign w:val="bottom"/>
            <w:hideMark/>
          </w:tcPr>
          <w:p w:rsidR="00EE3666" w:rsidRPr="00EE3666" w:rsidRDefault="00EE3666" w:rsidP="00EE3666">
            <w:pPr>
              <w:jc w:val="right"/>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9.5%</w:t>
            </w:r>
          </w:p>
        </w:tc>
      </w:tr>
      <w:tr w:rsidR="00EE3666" w:rsidRPr="00EE3666" w:rsidTr="00EE3666">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EE3666" w:rsidRPr="00EE3666" w:rsidRDefault="00EE3666" w:rsidP="00EE3666">
            <w:pPr>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Operating Income</w:t>
            </w:r>
          </w:p>
        </w:tc>
        <w:tc>
          <w:tcPr>
            <w:tcW w:w="2105" w:type="dxa"/>
            <w:tcBorders>
              <w:top w:val="nil"/>
              <w:left w:val="nil"/>
              <w:bottom w:val="single" w:sz="4" w:space="0" w:color="auto"/>
              <w:right w:val="single" w:sz="4" w:space="0" w:color="auto"/>
            </w:tcBorders>
            <w:shd w:val="clear" w:color="auto" w:fill="auto"/>
            <w:noWrap/>
            <w:vAlign w:val="bottom"/>
            <w:hideMark/>
          </w:tcPr>
          <w:p w:rsidR="00EE3666" w:rsidRPr="00EE3666" w:rsidRDefault="00EE3666" w:rsidP="00EE3666">
            <w:pPr>
              <w:jc w:val="right"/>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$1,073,000</w:t>
            </w:r>
          </w:p>
        </w:tc>
        <w:tc>
          <w:tcPr>
            <w:tcW w:w="2440" w:type="dxa"/>
            <w:tcBorders>
              <w:top w:val="nil"/>
              <w:left w:val="nil"/>
              <w:bottom w:val="single" w:sz="4" w:space="0" w:color="auto"/>
              <w:right w:val="single" w:sz="4" w:space="0" w:color="auto"/>
            </w:tcBorders>
            <w:shd w:val="clear" w:color="auto" w:fill="auto"/>
            <w:noWrap/>
            <w:vAlign w:val="bottom"/>
            <w:hideMark/>
          </w:tcPr>
          <w:p w:rsidR="00EE3666" w:rsidRPr="00EE3666" w:rsidRDefault="00EE3666" w:rsidP="00EE3666">
            <w:pPr>
              <w:jc w:val="right"/>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$1,144,920</w:t>
            </w:r>
          </w:p>
        </w:tc>
        <w:tc>
          <w:tcPr>
            <w:tcW w:w="2440" w:type="dxa"/>
            <w:tcBorders>
              <w:top w:val="nil"/>
              <w:left w:val="nil"/>
              <w:bottom w:val="single" w:sz="4" w:space="0" w:color="auto"/>
              <w:right w:val="single" w:sz="4" w:space="0" w:color="auto"/>
            </w:tcBorders>
            <w:shd w:val="clear" w:color="auto" w:fill="auto"/>
            <w:noWrap/>
            <w:vAlign w:val="bottom"/>
            <w:hideMark/>
          </w:tcPr>
          <w:p w:rsidR="00EE3666" w:rsidRPr="00EE3666" w:rsidRDefault="00EE3666" w:rsidP="00EE3666">
            <w:pPr>
              <w:jc w:val="right"/>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6.7%</w:t>
            </w:r>
          </w:p>
        </w:tc>
      </w:tr>
    </w:tbl>
    <w:p w:rsidR="00EE3666" w:rsidRDefault="00EE3666" w:rsidP="008E0EC0"/>
    <w:tbl>
      <w:tblPr>
        <w:tblW w:w="4260" w:type="dxa"/>
        <w:tblInd w:w="113" w:type="dxa"/>
        <w:tblLook w:val="04A0" w:firstRow="1" w:lastRow="0" w:firstColumn="1" w:lastColumn="0" w:noHBand="0" w:noVBand="1"/>
      </w:tblPr>
      <w:tblGrid>
        <w:gridCol w:w="1820"/>
        <w:gridCol w:w="2440"/>
      </w:tblGrid>
      <w:tr w:rsidR="00EE3666" w:rsidRPr="00EE3666" w:rsidTr="00EE3666">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666" w:rsidRPr="00EE3666" w:rsidRDefault="00EE3666" w:rsidP="00EE3666">
            <w:pPr>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 </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EE3666" w:rsidRPr="00EE3666" w:rsidRDefault="00EE3666" w:rsidP="00EE3666">
            <w:pPr>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Operating Margins</w:t>
            </w:r>
          </w:p>
        </w:tc>
      </w:tr>
      <w:tr w:rsidR="00EE3666" w:rsidRPr="00EE3666" w:rsidTr="00EE3666">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E3666" w:rsidRPr="00EE3666" w:rsidRDefault="00EE3666" w:rsidP="00EE3666">
            <w:pPr>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 xml:space="preserve">Existing </w:t>
            </w:r>
          </w:p>
        </w:tc>
        <w:tc>
          <w:tcPr>
            <w:tcW w:w="2440" w:type="dxa"/>
            <w:tcBorders>
              <w:top w:val="nil"/>
              <w:left w:val="nil"/>
              <w:bottom w:val="single" w:sz="4" w:space="0" w:color="auto"/>
              <w:right w:val="single" w:sz="4" w:space="0" w:color="auto"/>
            </w:tcBorders>
            <w:shd w:val="clear" w:color="auto" w:fill="auto"/>
            <w:noWrap/>
            <w:vAlign w:val="bottom"/>
            <w:hideMark/>
          </w:tcPr>
          <w:p w:rsidR="00EE3666" w:rsidRPr="00EE3666" w:rsidRDefault="00EE3666" w:rsidP="00EE3666">
            <w:pPr>
              <w:jc w:val="right"/>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28.4%</w:t>
            </w:r>
          </w:p>
        </w:tc>
      </w:tr>
      <w:tr w:rsidR="00EE3666" w:rsidRPr="00EE3666" w:rsidTr="00EE3666">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E3666" w:rsidRPr="00EE3666" w:rsidRDefault="00EE3666" w:rsidP="00EE3666">
            <w:pPr>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New</w:t>
            </w:r>
            <w:r>
              <w:rPr>
                <w:rFonts w:ascii="Calibri" w:eastAsia="Times New Roman" w:hAnsi="Calibri" w:cs="Times New Roman"/>
                <w:iCs w:val="0"/>
                <w:color w:val="000000"/>
                <w:sz w:val="22"/>
                <w:szCs w:val="22"/>
              </w:rPr>
              <w:t xml:space="preserve"> W/EFS</w:t>
            </w:r>
          </w:p>
        </w:tc>
        <w:tc>
          <w:tcPr>
            <w:tcW w:w="2440" w:type="dxa"/>
            <w:tcBorders>
              <w:top w:val="nil"/>
              <w:left w:val="nil"/>
              <w:bottom w:val="single" w:sz="4" w:space="0" w:color="auto"/>
              <w:right w:val="single" w:sz="4" w:space="0" w:color="auto"/>
            </w:tcBorders>
            <w:shd w:val="clear" w:color="auto" w:fill="auto"/>
            <w:noWrap/>
            <w:vAlign w:val="bottom"/>
            <w:hideMark/>
          </w:tcPr>
          <w:p w:rsidR="00EE3666" w:rsidRPr="00EE3666" w:rsidRDefault="00EE3666" w:rsidP="00EE3666">
            <w:pPr>
              <w:jc w:val="right"/>
              <w:rPr>
                <w:rFonts w:ascii="Calibri" w:eastAsia="Times New Roman" w:hAnsi="Calibri" w:cs="Times New Roman"/>
                <w:iCs w:val="0"/>
                <w:color w:val="000000"/>
                <w:sz w:val="22"/>
                <w:szCs w:val="22"/>
              </w:rPr>
            </w:pPr>
            <w:r w:rsidRPr="00EE3666">
              <w:rPr>
                <w:rFonts w:ascii="Calibri" w:eastAsia="Times New Roman" w:hAnsi="Calibri" w:cs="Times New Roman"/>
                <w:iCs w:val="0"/>
                <w:color w:val="000000"/>
                <w:sz w:val="22"/>
                <w:szCs w:val="22"/>
              </w:rPr>
              <w:t>27.7%</w:t>
            </w:r>
          </w:p>
        </w:tc>
      </w:tr>
    </w:tbl>
    <w:p w:rsidR="00EE3666" w:rsidRDefault="00EE3666" w:rsidP="008E0EC0"/>
    <w:p w:rsidR="006B2613" w:rsidRPr="00AD6F1B" w:rsidRDefault="006B2613" w:rsidP="008E0EC0"/>
    <w:sectPr w:rsidR="006B2613" w:rsidRPr="00AD6F1B" w:rsidSect="00CE74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786" w:rsidRDefault="00A20786" w:rsidP="008E0EC0">
      <w:r>
        <w:separator/>
      </w:r>
    </w:p>
  </w:endnote>
  <w:endnote w:type="continuationSeparator" w:id="0">
    <w:p w:rsidR="00A20786" w:rsidRDefault="00A20786" w:rsidP="008E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786" w:rsidRDefault="00A20786" w:rsidP="008E0EC0">
      <w:r>
        <w:separator/>
      </w:r>
    </w:p>
  </w:footnote>
  <w:footnote w:type="continuationSeparator" w:id="0">
    <w:p w:rsidR="00A20786" w:rsidRDefault="00A20786" w:rsidP="008E0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174"/>
      <w:gridCol w:w="6416"/>
    </w:tblGrid>
    <w:tr w:rsidR="00B61F02" w:rsidTr="007E0E96">
      <w:sdt>
        <w:sdtPr>
          <w:alias w:val="Date"/>
          <w:id w:val="77625188"/>
          <w:placeholder>
            <w:docPart w:val="63E91411CE4B42B3B117A010AA14443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655" w:type="pct"/>
              <w:tcBorders>
                <w:bottom w:val="single" w:sz="4" w:space="0" w:color="943634" w:themeColor="accent2" w:themeShade="BF"/>
              </w:tcBorders>
              <w:shd w:val="clear" w:color="auto" w:fill="943634" w:themeFill="accent2" w:themeFillShade="BF"/>
              <w:vAlign w:val="bottom"/>
            </w:tcPr>
            <w:p w:rsidR="00B61F02" w:rsidRDefault="00B61F02" w:rsidP="008E0EC0">
              <w:pPr>
                <w:pStyle w:val="Header"/>
              </w:pPr>
              <w:r>
                <w:t>MBA-691: H&amp;R Block EFS Case</w:t>
              </w:r>
            </w:p>
          </w:tc>
        </w:sdtContent>
      </w:sdt>
      <w:tc>
        <w:tcPr>
          <w:tcW w:w="3345" w:type="pct"/>
          <w:tcBorders>
            <w:bottom w:val="single" w:sz="4" w:space="0" w:color="auto"/>
          </w:tcBorders>
          <w:vAlign w:val="bottom"/>
        </w:tcPr>
        <w:p w:rsidR="00B61F02" w:rsidRDefault="00B61F02" w:rsidP="008E0EC0">
          <w:pPr>
            <w:pStyle w:val="Header"/>
            <w:rPr>
              <w:color w:val="76923C" w:themeColor="accent3" w:themeShade="BF"/>
            </w:rPr>
          </w:pPr>
          <w:r>
            <w:rPr>
              <w:color w:val="76923C" w:themeColor="accent3" w:themeShade="BF"/>
            </w:rPr>
            <w:t>[</w:t>
          </w:r>
          <w:sdt>
            <w:sdtPr>
              <w:alias w:val="Title"/>
              <w:id w:val="77625180"/>
              <w:placeholder>
                <w:docPart w:val="F3409A85C65F419987DA230000830C57"/>
              </w:placeholder>
              <w:dataBinding w:prefixMappings="xmlns:ns0='http://schemas.openxmlformats.org/package/2006/metadata/core-properties' xmlns:ns1='http://purl.org/dc/elements/1.1/'" w:xpath="/ns0:coreProperties[1]/ns1:title[1]" w:storeItemID="{6C3C8BC8-F283-45AE-878A-BAB7291924A1}"/>
              <w:text/>
            </w:sdtPr>
            <w:sdtEndPr/>
            <w:sdtContent>
              <w:r>
                <w:t>SImon Foucher (710 7722)</w:t>
              </w:r>
            </w:sdtContent>
          </w:sdt>
          <w:r>
            <w:rPr>
              <w:color w:val="76923C" w:themeColor="accent3" w:themeShade="BF"/>
            </w:rPr>
            <w:t>]</w:t>
          </w:r>
        </w:p>
      </w:tc>
    </w:tr>
  </w:tbl>
  <w:p w:rsidR="00B61F02" w:rsidRDefault="00B61F02" w:rsidP="008E0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166"/>
    <w:multiLevelType w:val="hybridMultilevel"/>
    <w:tmpl w:val="FB7ED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1D2731"/>
    <w:multiLevelType w:val="hybridMultilevel"/>
    <w:tmpl w:val="933E1BC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31D2818"/>
    <w:multiLevelType w:val="hybridMultilevel"/>
    <w:tmpl w:val="ABCE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04A3C"/>
    <w:multiLevelType w:val="hybridMultilevel"/>
    <w:tmpl w:val="6D00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84066"/>
    <w:multiLevelType w:val="hybridMultilevel"/>
    <w:tmpl w:val="AA9A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16CD1"/>
    <w:multiLevelType w:val="hybridMultilevel"/>
    <w:tmpl w:val="6E10DC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5748E8"/>
    <w:multiLevelType w:val="hybridMultilevel"/>
    <w:tmpl w:val="72C0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405C0"/>
    <w:multiLevelType w:val="hybridMultilevel"/>
    <w:tmpl w:val="B2A60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4F6F4C"/>
    <w:multiLevelType w:val="hybridMultilevel"/>
    <w:tmpl w:val="0BDC44B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07583F"/>
    <w:multiLevelType w:val="hybridMultilevel"/>
    <w:tmpl w:val="1EC0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927C6"/>
    <w:multiLevelType w:val="hybridMultilevel"/>
    <w:tmpl w:val="2E1C43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A637297"/>
    <w:multiLevelType w:val="hybridMultilevel"/>
    <w:tmpl w:val="A30CB4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B3506B3"/>
    <w:multiLevelType w:val="hybridMultilevel"/>
    <w:tmpl w:val="4BF2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74FFE"/>
    <w:multiLevelType w:val="hybridMultilevel"/>
    <w:tmpl w:val="F312ABAC"/>
    <w:lvl w:ilvl="0" w:tplc="0C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08C5"/>
    <w:multiLevelType w:val="hybridMultilevel"/>
    <w:tmpl w:val="2A8E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F2F02"/>
    <w:multiLevelType w:val="hybridMultilevel"/>
    <w:tmpl w:val="1D4AF8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7AE69E0"/>
    <w:multiLevelType w:val="hybridMultilevel"/>
    <w:tmpl w:val="E4DA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82CDF"/>
    <w:multiLevelType w:val="hybridMultilevel"/>
    <w:tmpl w:val="65AE37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DF958B8"/>
    <w:multiLevelType w:val="hybridMultilevel"/>
    <w:tmpl w:val="B83C6BA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F3B32D4"/>
    <w:multiLevelType w:val="hybridMultilevel"/>
    <w:tmpl w:val="4D9810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77F446C"/>
    <w:multiLevelType w:val="hybridMultilevel"/>
    <w:tmpl w:val="4316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36E3D"/>
    <w:multiLevelType w:val="hybridMultilevel"/>
    <w:tmpl w:val="C68C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96F7B"/>
    <w:multiLevelType w:val="hybridMultilevel"/>
    <w:tmpl w:val="274C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532C0"/>
    <w:multiLevelType w:val="hybridMultilevel"/>
    <w:tmpl w:val="B008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8214A6"/>
    <w:multiLevelType w:val="hybridMultilevel"/>
    <w:tmpl w:val="A21A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D2C63"/>
    <w:multiLevelType w:val="hybridMultilevel"/>
    <w:tmpl w:val="1808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50BA7"/>
    <w:multiLevelType w:val="hybridMultilevel"/>
    <w:tmpl w:val="7886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2494D"/>
    <w:multiLevelType w:val="hybridMultilevel"/>
    <w:tmpl w:val="B5A653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14748BC"/>
    <w:multiLevelType w:val="hybridMultilevel"/>
    <w:tmpl w:val="92C6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E5232"/>
    <w:multiLevelType w:val="hybridMultilevel"/>
    <w:tmpl w:val="3D2E58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2AF43EC"/>
    <w:multiLevelType w:val="hybridMultilevel"/>
    <w:tmpl w:val="F566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031C1"/>
    <w:multiLevelType w:val="hybridMultilevel"/>
    <w:tmpl w:val="0674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82AF4"/>
    <w:multiLevelType w:val="hybridMultilevel"/>
    <w:tmpl w:val="A1C8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D4421"/>
    <w:multiLevelType w:val="hybridMultilevel"/>
    <w:tmpl w:val="C7E096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C045775"/>
    <w:multiLevelType w:val="hybridMultilevel"/>
    <w:tmpl w:val="E27E94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D4C7640"/>
    <w:multiLevelType w:val="hybridMultilevel"/>
    <w:tmpl w:val="78C4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60565"/>
    <w:multiLevelType w:val="hybridMultilevel"/>
    <w:tmpl w:val="477A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97EC3"/>
    <w:multiLevelType w:val="hybridMultilevel"/>
    <w:tmpl w:val="A642BA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5D14814"/>
    <w:multiLevelType w:val="hybridMultilevel"/>
    <w:tmpl w:val="BFD2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86152"/>
    <w:multiLevelType w:val="hybridMultilevel"/>
    <w:tmpl w:val="A55E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A416A"/>
    <w:multiLevelType w:val="hybridMultilevel"/>
    <w:tmpl w:val="7B5A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F4972"/>
    <w:multiLevelType w:val="hybridMultilevel"/>
    <w:tmpl w:val="D57C9E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6E4064B0"/>
    <w:multiLevelType w:val="hybridMultilevel"/>
    <w:tmpl w:val="0E3C60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19D6DF1"/>
    <w:multiLevelType w:val="hybridMultilevel"/>
    <w:tmpl w:val="EF16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013AD"/>
    <w:multiLevelType w:val="hybridMultilevel"/>
    <w:tmpl w:val="1C4866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C2267F3"/>
    <w:multiLevelType w:val="hybridMultilevel"/>
    <w:tmpl w:val="56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B1BBC"/>
    <w:multiLevelType w:val="hybridMultilevel"/>
    <w:tmpl w:val="07A0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34"/>
  </w:num>
  <w:num w:numId="4">
    <w:abstractNumId w:val="42"/>
  </w:num>
  <w:num w:numId="5">
    <w:abstractNumId w:val="27"/>
  </w:num>
  <w:num w:numId="6">
    <w:abstractNumId w:val="18"/>
  </w:num>
  <w:num w:numId="7">
    <w:abstractNumId w:val="5"/>
  </w:num>
  <w:num w:numId="8">
    <w:abstractNumId w:val="44"/>
  </w:num>
  <w:num w:numId="9">
    <w:abstractNumId w:val="1"/>
  </w:num>
  <w:num w:numId="10">
    <w:abstractNumId w:val="11"/>
  </w:num>
  <w:num w:numId="11">
    <w:abstractNumId w:val="41"/>
  </w:num>
  <w:num w:numId="12">
    <w:abstractNumId w:val="37"/>
  </w:num>
  <w:num w:numId="13">
    <w:abstractNumId w:val="29"/>
  </w:num>
  <w:num w:numId="14">
    <w:abstractNumId w:val="0"/>
  </w:num>
  <w:num w:numId="15">
    <w:abstractNumId w:val="10"/>
  </w:num>
  <w:num w:numId="16">
    <w:abstractNumId w:val="33"/>
  </w:num>
  <w:num w:numId="17">
    <w:abstractNumId w:val="19"/>
  </w:num>
  <w:num w:numId="18">
    <w:abstractNumId w:val="15"/>
  </w:num>
  <w:num w:numId="19">
    <w:abstractNumId w:val="17"/>
  </w:num>
  <w:num w:numId="20">
    <w:abstractNumId w:val="46"/>
  </w:num>
  <w:num w:numId="21">
    <w:abstractNumId w:val="35"/>
  </w:num>
  <w:num w:numId="22">
    <w:abstractNumId w:val="31"/>
  </w:num>
  <w:num w:numId="23">
    <w:abstractNumId w:val="32"/>
  </w:num>
  <w:num w:numId="24">
    <w:abstractNumId w:val="22"/>
  </w:num>
  <w:num w:numId="25">
    <w:abstractNumId w:val="3"/>
  </w:num>
  <w:num w:numId="26">
    <w:abstractNumId w:val="36"/>
  </w:num>
  <w:num w:numId="27">
    <w:abstractNumId w:val="6"/>
  </w:num>
  <w:num w:numId="28">
    <w:abstractNumId w:val="20"/>
  </w:num>
  <w:num w:numId="29">
    <w:abstractNumId w:val="4"/>
  </w:num>
  <w:num w:numId="30">
    <w:abstractNumId w:val="26"/>
  </w:num>
  <w:num w:numId="31">
    <w:abstractNumId w:val="23"/>
  </w:num>
  <w:num w:numId="32">
    <w:abstractNumId w:val="38"/>
  </w:num>
  <w:num w:numId="33">
    <w:abstractNumId w:val="43"/>
  </w:num>
  <w:num w:numId="34">
    <w:abstractNumId w:val="21"/>
  </w:num>
  <w:num w:numId="35">
    <w:abstractNumId w:val="7"/>
  </w:num>
  <w:num w:numId="36">
    <w:abstractNumId w:val="9"/>
  </w:num>
  <w:num w:numId="37">
    <w:abstractNumId w:val="39"/>
  </w:num>
  <w:num w:numId="38">
    <w:abstractNumId w:val="25"/>
  </w:num>
  <w:num w:numId="39">
    <w:abstractNumId w:val="28"/>
  </w:num>
  <w:num w:numId="40">
    <w:abstractNumId w:val="30"/>
  </w:num>
  <w:num w:numId="41">
    <w:abstractNumId w:val="16"/>
  </w:num>
  <w:num w:numId="42">
    <w:abstractNumId w:val="24"/>
  </w:num>
  <w:num w:numId="43">
    <w:abstractNumId w:val="14"/>
  </w:num>
  <w:num w:numId="44">
    <w:abstractNumId w:val="2"/>
  </w:num>
  <w:num w:numId="45">
    <w:abstractNumId w:val="40"/>
  </w:num>
  <w:num w:numId="46">
    <w:abstractNumId w:val="1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DF"/>
    <w:rsid w:val="00016FD1"/>
    <w:rsid w:val="0004189D"/>
    <w:rsid w:val="000F16EE"/>
    <w:rsid w:val="000F3F46"/>
    <w:rsid w:val="00111E1E"/>
    <w:rsid w:val="0012225A"/>
    <w:rsid w:val="001425B6"/>
    <w:rsid w:val="00174743"/>
    <w:rsid w:val="001D6161"/>
    <w:rsid w:val="001F111C"/>
    <w:rsid w:val="00230014"/>
    <w:rsid w:val="0023107F"/>
    <w:rsid w:val="00234376"/>
    <w:rsid w:val="002468F9"/>
    <w:rsid w:val="00290976"/>
    <w:rsid w:val="002B3C5C"/>
    <w:rsid w:val="002C0AB7"/>
    <w:rsid w:val="002F7E3D"/>
    <w:rsid w:val="003450BD"/>
    <w:rsid w:val="00346EEA"/>
    <w:rsid w:val="00347ABE"/>
    <w:rsid w:val="00363DFA"/>
    <w:rsid w:val="00382BFA"/>
    <w:rsid w:val="003B6FAB"/>
    <w:rsid w:val="00422F1F"/>
    <w:rsid w:val="00457A16"/>
    <w:rsid w:val="00467F42"/>
    <w:rsid w:val="00491920"/>
    <w:rsid w:val="004A0C22"/>
    <w:rsid w:val="004D0CDE"/>
    <w:rsid w:val="004E4653"/>
    <w:rsid w:val="00503684"/>
    <w:rsid w:val="005439CA"/>
    <w:rsid w:val="00547492"/>
    <w:rsid w:val="005531DE"/>
    <w:rsid w:val="00592268"/>
    <w:rsid w:val="005D1395"/>
    <w:rsid w:val="005D483E"/>
    <w:rsid w:val="00642146"/>
    <w:rsid w:val="00653FC7"/>
    <w:rsid w:val="00683D18"/>
    <w:rsid w:val="006B2613"/>
    <w:rsid w:val="006F31FA"/>
    <w:rsid w:val="00724009"/>
    <w:rsid w:val="0075239F"/>
    <w:rsid w:val="0075462D"/>
    <w:rsid w:val="007D1771"/>
    <w:rsid w:val="007E0E96"/>
    <w:rsid w:val="007F463C"/>
    <w:rsid w:val="008124C8"/>
    <w:rsid w:val="00817F0E"/>
    <w:rsid w:val="00846992"/>
    <w:rsid w:val="00857740"/>
    <w:rsid w:val="00873B49"/>
    <w:rsid w:val="00886134"/>
    <w:rsid w:val="008C4EC3"/>
    <w:rsid w:val="008E0EC0"/>
    <w:rsid w:val="008E1FBC"/>
    <w:rsid w:val="00982457"/>
    <w:rsid w:val="009B767E"/>
    <w:rsid w:val="009F3B45"/>
    <w:rsid w:val="00A10625"/>
    <w:rsid w:val="00A1734C"/>
    <w:rsid w:val="00A20786"/>
    <w:rsid w:val="00A87AA2"/>
    <w:rsid w:val="00A90AC1"/>
    <w:rsid w:val="00AA549E"/>
    <w:rsid w:val="00AD6F1B"/>
    <w:rsid w:val="00AF420B"/>
    <w:rsid w:val="00B12D90"/>
    <w:rsid w:val="00B40EC8"/>
    <w:rsid w:val="00B61F02"/>
    <w:rsid w:val="00B62EF5"/>
    <w:rsid w:val="00B833DD"/>
    <w:rsid w:val="00B85B8C"/>
    <w:rsid w:val="00BC3F1A"/>
    <w:rsid w:val="00BF4623"/>
    <w:rsid w:val="00C01A90"/>
    <w:rsid w:val="00C026B4"/>
    <w:rsid w:val="00C311D1"/>
    <w:rsid w:val="00C52D4A"/>
    <w:rsid w:val="00C533B2"/>
    <w:rsid w:val="00C97E4E"/>
    <w:rsid w:val="00CE748B"/>
    <w:rsid w:val="00CF0027"/>
    <w:rsid w:val="00CF38BB"/>
    <w:rsid w:val="00D27675"/>
    <w:rsid w:val="00D61ADE"/>
    <w:rsid w:val="00D8304A"/>
    <w:rsid w:val="00DA0D1E"/>
    <w:rsid w:val="00DA41DF"/>
    <w:rsid w:val="00DC0F10"/>
    <w:rsid w:val="00DD0745"/>
    <w:rsid w:val="00DE7660"/>
    <w:rsid w:val="00E04C29"/>
    <w:rsid w:val="00E564F6"/>
    <w:rsid w:val="00E70D84"/>
    <w:rsid w:val="00E761CE"/>
    <w:rsid w:val="00E8311A"/>
    <w:rsid w:val="00EE3666"/>
    <w:rsid w:val="00F117A7"/>
    <w:rsid w:val="00F41B81"/>
    <w:rsid w:val="00F46039"/>
    <w:rsid w:val="00F5746D"/>
    <w:rsid w:val="00F73782"/>
    <w:rsid w:val="00FC5DFD"/>
    <w:rsid w:val="00FC6A06"/>
    <w:rsid w:val="00FD7432"/>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0B98E-252E-4025-ABE4-E898578D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C0"/>
    <w:rPr>
      <w:iCs/>
      <w:sz w:val="20"/>
      <w:szCs w:val="20"/>
    </w:rPr>
  </w:style>
  <w:style w:type="paragraph" w:styleId="Heading1">
    <w:name w:val="heading 1"/>
    <w:basedOn w:val="Normal"/>
    <w:next w:val="Normal"/>
    <w:link w:val="Heading1Char"/>
    <w:uiPriority w:val="9"/>
    <w:qFormat/>
    <w:rsid w:val="002C0AB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10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8E0EC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8E0EC0"/>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8E0EC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8E0EC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8E0EC0"/>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8E0EC0"/>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8E0EC0"/>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8E0EC0"/>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EC0"/>
    <w:pPr>
      <w:ind w:left="720"/>
      <w:contextualSpacing/>
    </w:pPr>
  </w:style>
  <w:style w:type="paragraph" w:styleId="Header">
    <w:name w:val="header"/>
    <w:basedOn w:val="Normal"/>
    <w:link w:val="HeaderChar"/>
    <w:uiPriority w:val="99"/>
    <w:unhideWhenUsed/>
    <w:rsid w:val="007E0E96"/>
    <w:pPr>
      <w:tabs>
        <w:tab w:val="center" w:pos="4680"/>
        <w:tab w:val="right" w:pos="9360"/>
      </w:tabs>
    </w:pPr>
  </w:style>
  <w:style w:type="character" w:customStyle="1" w:styleId="HeaderChar">
    <w:name w:val="Header Char"/>
    <w:basedOn w:val="DefaultParagraphFont"/>
    <w:link w:val="Header"/>
    <w:uiPriority w:val="99"/>
    <w:rsid w:val="007E0E96"/>
  </w:style>
  <w:style w:type="paragraph" w:styleId="Footer">
    <w:name w:val="footer"/>
    <w:basedOn w:val="Normal"/>
    <w:link w:val="FooterChar"/>
    <w:uiPriority w:val="99"/>
    <w:unhideWhenUsed/>
    <w:rsid w:val="007E0E96"/>
    <w:pPr>
      <w:tabs>
        <w:tab w:val="center" w:pos="4680"/>
        <w:tab w:val="right" w:pos="9360"/>
      </w:tabs>
    </w:pPr>
  </w:style>
  <w:style w:type="character" w:customStyle="1" w:styleId="FooterChar">
    <w:name w:val="Footer Char"/>
    <w:basedOn w:val="DefaultParagraphFont"/>
    <w:link w:val="Footer"/>
    <w:uiPriority w:val="99"/>
    <w:rsid w:val="007E0E96"/>
  </w:style>
  <w:style w:type="paragraph" w:styleId="BalloonText">
    <w:name w:val="Balloon Text"/>
    <w:basedOn w:val="Normal"/>
    <w:link w:val="BalloonTextChar"/>
    <w:uiPriority w:val="99"/>
    <w:semiHidden/>
    <w:unhideWhenUsed/>
    <w:rsid w:val="007E0E96"/>
    <w:rPr>
      <w:rFonts w:ascii="Tahoma" w:hAnsi="Tahoma" w:cs="Tahoma"/>
      <w:sz w:val="16"/>
      <w:szCs w:val="16"/>
    </w:rPr>
  </w:style>
  <w:style w:type="character" w:customStyle="1" w:styleId="BalloonTextChar">
    <w:name w:val="Balloon Text Char"/>
    <w:basedOn w:val="DefaultParagraphFont"/>
    <w:link w:val="BalloonText"/>
    <w:uiPriority w:val="99"/>
    <w:semiHidden/>
    <w:rsid w:val="007E0E96"/>
    <w:rPr>
      <w:rFonts w:ascii="Tahoma" w:hAnsi="Tahoma" w:cs="Tahoma"/>
      <w:sz w:val="16"/>
      <w:szCs w:val="16"/>
    </w:rPr>
  </w:style>
  <w:style w:type="character" w:customStyle="1" w:styleId="Heading1Char">
    <w:name w:val="Heading 1 Char"/>
    <w:basedOn w:val="DefaultParagraphFont"/>
    <w:link w:val="Heading1"/>
    <w:uiPriority w:val="9"/>
    <w:rsid w:val="002C0AB7"/>
    <w:rPr>
      <w:rFonts w:asciiTheme="majorHAnsi" w:eastAsiaTheme="majorEastAsia" w:hAnsiTheme="majorHAnsi" w:cstheme="majorBidi"/>
      <w:b/>
      <w:bCs/>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8E0EC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rsid w:val="008E0EC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8E0EC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8E0EC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8E0EC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8E0EC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8E0EC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8E0EC0"/>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8E0EC0"/>
    <w:rPr>
      <w:b/>
      <w:bCs/>
      <w:color w:val="943634" w:themeColor="accent2" w:themeShade="BF"/>
      <w:sz w:val="18"/>
      <w:szCs w:val="18"/>
    </w:rPr>
  </w:style>
  <w:style w:type="paragraph" w:styleId="Title">
    <w:name w:val="Title"/>
    <w:basedOn w:val="Normal"/>
    <w:next w:val="Normal"/>
    <w:link w:val="TitleChar"/>
    <w:uiPriority w:val="10"/>
    <w:qFormat/>
    <w:rsid w:val="008E0EC0"/>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8E0EC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8E0EC0"/>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8E0EC0"/>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8E0EC0"/>
    <w:rPr>
      <w:b/>
      <w:bCs/>
      <w:spacing w:val="0"/>
    </w:rPr>
  </w:style>
  <w:style w:type="character" w:styleId="Emphasis">
    <w:name w:val="Emphasis"/>
    <w:uiPriority w:val="20"/>
    <w:qFormat/>
    <w:rsid w:val="008E0EC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8E0EC0"/>
  </w:style>
  <w:style w:type="paragraph" w:styleId="Quote">
    <w:name w:val="Quote"/>
    <w:basedOn w:val="Normal"/>
    <w:next w:val="Normal"/>
    <w:link w:val="QuoteChar"/>
    <w:uiPriority w:val="29"/>
    <w:qFormat/>
    <w:rsid w:val="008E0EC0"/>
    <w:rPr>
      <w:i/>
      <w:iCs w:val="0"/>
      <w:color w:val="943634" w:themeColor="accent2" w:themeShade="BF"/>
    </w:rPr>
  </w:style>
  <w:style w:type="character" w:customStyle="1" w:styleId="QuoteChar">
    <w:name w:val="Quote Char"/>
    <w:basedOn w:val="DefaultParagraphFont"/>
    <w:link w:val="Quote"/>
    <w:uiPriority w:val="29"/>
    <w:rsid w:val="008E0EC0"/>
    <w:rPr>
      <w:color w:val="943634" w:themeColor="accent2" w:themeShade="BF"/>
      <w:sz w:val="20"/>
      <w:szCs w:val="20"/>
    </w:rPr>
  </w:style>
  <w:style w:type="paragraph" w:styleId="IntenseQuote">
    <w:name w:val="Intense Quote"/>
    <w:basedOn w:val="Normal"/>
    <w:next w:val="Normal"/>
    <w:link w:val="IntenseQuoteChar"/>
    <w:uiPriority w:val="30"/>
    <w:qFormat/>
    <w:rsid w:val="008E0EC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8E0EC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8E0EC0"/>
    <w:rPr>
      <w:rFonts w:asciiTheme="majorHAnsi" w:eastAsiaTheme="majorEastAsia" w:hAnsiTheme="majorHAnsi" w:cstheme="majorBidi"/>
      <w:i/>
      <w:iCs/>
      <w:color w:val="C0504D" w:themeColor="accent2"/>
    </w:rPr>
  </w:style>
  <w:style w:type="character" w:styleId="IntenseEmphasis">
    <w:name w:val="Intense Emphasis"/>
    <w:uiPriority w:val="21"/>
    <w:qFormat/>
    <w:rsid w:val="008E0EC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8E0EC0"/>
    <w:rPr>
      <w:i/>
      <w:iCs/>
      <w:smallCaps/>
      <w:color w:val="C0504D" w:themeColor="accent2"/>
      <w:u w:color="C0504D" w:themeColor="accent2"/>
    </w:rPr>
  </w:style>
  <w:style w:type="character" w:styleId="IntenseReference">
    <w:name w:val="Intense Reference"/>
    <w:uiPriority w:val="32"/>
    <w:qFormat/>
    <w:rsid w:val="008E0EC0"/>
    <w:rPr>
      <w:b/>
      <w:bCs/>
      <w:i/>
      <w:iCs/>
      <w:smallCaps/>
      <w:color w:val="C0504D" w:themeColor="accent2"/>
      <w:u w:color="C0504D" w:themeColor="accent2"/>
    </w:rPr>
  </w:style>
  <w:style w:type="character" w:styleId="BookTitle">
    <w:name w:val="Book Title"/>
    <w:uiPriority w:val="33"/>
    <w:qFormat/>
    <w:rsid w:val="008E0EC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8E0EC0"/>
    <w:pPr>
      <w:outlineLvl w:val="9"/>
    </w:pPr>
    <w:rPr>
      <w:lang w:bidi="en-US"/>
    </w:rPr>
  </w:style>
  <w:style w:type="table" w:styleId="TableGrid">
    <w:name w:val="Table Grid"/>
    <w:basedOn w:val="TableNormal"/>
    <w:uiPriority w:val="59"/>
    <w:rsid w:val="00BC3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5435">
      <w:bodyDiv w:val="1"/>
      <w:marLeft w:val="0"/>
      <w:marRight w:val="0"/>
      <w:marTop w:val="0"/>
      <w:marBottom w:val="0"/>
      <w:divBdr>
        <w:top w:val="none" w:sz="0" w:space="0" w:color="auto"/>
        <w:left w:val="none" w:sz="0" w:space="0" w:color="auto"/>
        <w:bottom w:val="none" w:sz="0" w:space="0" w:color="auto"/>
        <w:right w:val="none" w:sz="0" w:space="0" w:color="auto"/>
      </w:divBdr>
    </w:div>
    <w:div w:id="153374049">
      <w:bodyDiv w:val="1"/>
      <w:marLeft w:val="0"/>
      <w:marRight w:val="0"/>
      <w:marTop w:val="0"/>
      <w:marBottom w:val="0"/>
      <w:divBdr>
        <w:top w:val="none" w:sz="0" w:space="0" w:color="auto"/>
        <w:left w:val="none" w:sz="0" w:space="0" w:color="auto"/>
        <w:bottom w:val="none" w:sz="0" w:space="0" w:color="auto"/>
        <w:right w:val="none" w:sz="0" w:space="0" w:color="auto"/>
      </w:divBdr>
    </w:div>
    <w:div w:id="161745962">
      <w:bodyDiv w:val="1"/>
      <w:marLeft w:val="0"/>
      <w:marRight w:val="0"/>
      <w:marTop w:val="0"/>
      <w:marBottom w:val="0"/>
      <w:divBdr>
        <w:top w:val="none" w:sz="0" w:space="0" w:color="auto"/>
        <w:left w:val="none" w:sz="0" w:space="0" w:color="auto"/>
        <w:bottom w:val="none" w:sz="0" w:space="0" w:color="auto"/>
        <w:right w:val="none" w:sz="0" w:space="0" w:color="auto"/>
      </w:divBdr>
    </w:div>
    <w:div w:id="206767423">
      <w:bodyDiv w:val="1"/>
      <w:marLeft w:val="0"/>
      <w:marRight w:val="0"/>
      <w:marTop w:val="0"/>
      <w:marBottom w:val="0"/>
      <w:divBdr>
        <w:top w:val="none" w:sz="0" w:space="0" w:color="auto"/>
        <w:left w:val="none" w:sz="0" w:space="0" w:color="auto"/>
        <w:bottom w:val="none" w:sz="0" w:space="0" w:color="auto"/>
        <w:right w:val="none" w:sz="0" w:space="0" w:color="auto"/>
      </w:divBdr>
    </w:div>
    <w:div w:id="262613027">
      <w:bodyDiv w:val="1"/>
      <w:marLeft w:val="0"/>
      <w:marRight w:val="0"/>
      <w:marTop w:val="0"/>
      <w:marBottom w:val="0"/>
      <w:divBdr>
        <w:top w:val="none" w:sz="0" w:space="0" w:color="auto"/>
        <w:left w:val="none" w:sz="0" w:space="0" w:color="auto"/>
        <w:bottom w:val="none" w:sz="0" w:space="0" w:color="auto"/>
        <w:right w:val="none" w:sz="0" w:space="0" w:color="auto"/>
      </w:divBdr>
    </w:div>
    <w:div w:id="263222165">
      <w:bodyDiv w:val="1"/>
      <w:marLeft w:val="0"/>
      <w:marRight w:val="0"/>
      <w:marTop w:val="0"/>
      <w:marBottom w:val="0"/>
      <w:divBdr>
        <w:top w:val="none" w:sz="0" w:space="0" w:color="auto"/>
        <w:left w:val="none" w:sz="0" w:space="0" w:color="auto"/>
        <w:bottom w:val="none" w:sz="0" w:space="0" w:color="auto"/>
        <w:right w:val="none" w:sz="0" w:space="0" w:color="auto"/>
      </w:divBdr>
    </w:div>
    <w:div w:id="354045044">
      <w:bodyDiv w:val="1"/>
      <w:marLeft w:val="0"/>
      <w:marRight w:val="0"/>
      <w:marTop w:val="0"/>
      <w:marBottom w:val="0"/>
      <w:divBdr>
        <w:top w:val="none" w:sz="0" w:space="0" w:color="auto"/>
        <w:left w:val="none" w:sz="0" w:space="0" w:color="auto"/>
        <w:bottom w:val="none" w:sz="0" w:space="0" w:color="auto"/>
        <w:right w:val="none" w:sz="0" w:space="0" w:color="auto"/>
      </w:divBdr>
    </w:div>
    <w:div w:id="483862920">
      <w:bodyDiv w:val="1"/>
      <w:marLeft w:val="0"/>
      <w:marRight w:val="0"/>
      <w:marTop w:val="0"/>
      <w:marBottom w:val="0"/>
      <w:divBdr>
        <w:top w:val="none" w:sz="0" w:space="0" w:color="auto"/>
        <w:left w:val="none" w:sz="0" w:space="0" w:color="auto"/>
        <w:bottom w:val="none" w:sz="0" w:space="0" w:color="auto"/>
        <w:right w:val="none" w:sz="0" w:space="0" w:color="auto"/>
      </w:divBdr>
    </w:div>
    <w:div w:id="666783252">
      <w:bodyDiv w:val="1"/>
      <w:marLeft w:val="0"/>
      <w:marRight w:val="0"/>
      <w:marTop w:val="0"/>
      <w:marBottom w:val="0"/>
      <w:divBdr>
        <w:top w:val="none" w:sz="0" w:space="0" w:color="auto"/>
        <w:left w:val="none" w:sz="0" w:space="0" w:color="auto"/>
        <w:bottom w:val="none" w:sz="0" w:space="0" w:color="auto"/>
        <w:right w:val="none" w:sz="0" w:space="0" w:color="auto"/>
      </w:divBdr>
    </w:div>
    <w:div w:id="782840484">
      <w:bodyDiv w:val="1"/>
      <w:marLeft w:val="0"/>
      <w:marRight w:val="0"/>
      <w:marTop w:val="0"/>
      <w:marBottom w:val="0"/>
      <w:divBdr>
        <w:top w:val="none" w:sz="0" w:space="0" w:color="auto"/>
        <w:left w:val="none" w:sz="0" w:space="0" w:color="auto"/>
        <w:bottom w:val="none" w:sz="0" w:space="0" w:color="auto"/>
        <w:right w:val="none" w:sz="0" w:space="0" w:color="auto"/>
      </w:divBdr>
    </w:div>
    <w:div w:id="913397648">
      <w:bodyDiv w:val="1"/>
      <w:marLeft w:val="0"/>
      <w:marRight w:val="0"/>
      <w:marTop w:val="0"/>
      <w:marBottom w:val="0"/>
      <w:divBdr>
        <w:top w:val="none" w:sz="0" w:space="0" w:color="auto"/>
        <w:left w:val="none" w:sz="0" w:space="0" w:color="auto"/>
        <w:bottom w:val="none" w:sz="0" w:space="0" w:color="auto"/>
        <w:right w:val="none" w:sz="0" w:space="0" w:color="auto"/>
      </w:divBdr>
    </w:div>
    <w:div w:id="1035034578">
      <w:bodyDiv w:val="1"/>
      <w:marLeft w:val="0"/>
      <w:marRight w:val="0"/>
      <w:marTop w:val="0"/>
      <w:marBottom w:val="0"/>
      <w:divBdr>
        <w:top w:val="none" w:sz="0" w:space="0" w:color="auto"/>
        <w:left w:val="none" w:sz="0" w:space="0" w:color="auto"/>
        <w:bottom w:val="none" w:sz="0" w:space="0" w:color="auto"/>
        <w:right w:val="none" w:sz="0" w:space="0" w:color="auto"/>
      </w:divBdr>
    </w:div>
    <w:div w:id="1479348776">
      <w:bodyDiv w:val="1"/>
      <w:marLeft w:val="0"/>
      <w:marRight w:val="0"/>
      <w:marTop w:val="0"/>
      <w:marBottom w:val="0"/>
      <w:divBdr>
        <w:top w:val="none" w:sz="0" w:space="0" w:color="auto"/>
        <w:left w:val="none" w:sz="0" w:space="0" w:color="auto"/>
        <w:bottom w:val="none" w:sz="0" w:space="0" w:color="auto"/>
        <w:right w:val="none" w:sz="0" w:space="0" w:color="auto"/>
      </w:divBdr>
    </w:div>
    <w:div w:id="1538666270">
      <w:bodyDiv w:val="1"/>
      <w:marLeft w:val="0"/>
      <w:marRight w:val="0"/>
      <w:marTop w:val="0"/>
      <w:marBottom w:val="0"/>
      <w:divBdr>
        <w:top w:val="none" w:sz="0" w:space="0" w:color="auto"/>
        <w:left w:val="none" w:sz="0" w:space="0" w:color="auto"/>
        <w:bottom w:val="none" w:sz="0" w:space="0" w:color="auto"/>
        <w:right w:val="none" w:sz="0" w:space="0" w:color="auto"/>
      </w:divBdr>
    </w:div>
    <w:div w:id="1612856779">
      <w:bodyDiv w:val="1"/>
      <w:marLeft w:val="0"/>
      <w:marRight w:val="0"/>
      <w:marTop w:val="0"/>
      <w:marBottom w:val="0"/>
      <w:divBdr>
        <w:top w:val="none" w:sz="0" w:space="0" w:color="auto"/>
        <w:left w:val="none" w:sz="0" w:space="0" w:color="auto"/>
        <w:bottom w:val="none" w:sz="0" w:space="0" w:color="auto"/>
        <w:right w:val="none" w:sz="0" w:space="0" w:color="auto"/>
      </w:divBdr>
    </w:div>
    <w:div w:id="1730107707">
      <w:bodyDiv w:val="1"/>
      <w:marLeft w:val="0"/>
      <w:marRight w:val="0"/>
      <w:marTop w:val="0"/>
      <w:marBottom w:val="0"/>
      <w:divBdr>
        <w:top w:val="none" w:sz="0" w:space="0" w:color="auto"/>
        <w:left w:val="none" w:sz="0" w:space="0" w:color="auto"/>
        <w:bottom w:val="none" w:sz="0" w:space="0" w:color="auto"/>
        <w:right w:val="none" w:sz="0" w:space="0" w:color="auto"/>
      </w:divBdr>
    </w:div>
    <w:div w:id="1754472779">
      <w:bodyDiv w:val="1"/>
      <w:marLeft w:val="0"/>
      <w:marRight w:val="0"/>
      <w:marTop w:val="0"/>
      <w:marBottom w:val="0"/>
      <w:divBdr>
        <w:top w:val="none" w:sz="0" w:space="0" w:color="auto"/>
        <w:left w:val="none" w:sz="0" w:space="0" w:color="auto"/>
        <w:bottom w:val="none" w:sz="0" w:space="0" w:color="auto"/>
        <w:right w:val="none" w:sz="0" w:space="0" w:color="auto"/>
      </w:divBdr>
    </w:div>
    <w:div w:id="1826310631">
      <w:bodyDiv w:val="1"/>
      <w:marLeft w:val="0"/>
      <w:marRight w:val="0"/>
      <w:marTop w:val="0"/>
      <w:marBottom w:val="0"/>
      <w:divBdr>
        <w:top w:val="none" w:sz="0" w:space="0" w:color="auto"/>
        <w:left w:val="none" w:sz="0" w:space="0" w:color="auto"/>
        <w:bottom w:val="none" w:sz="0" w:space="0" w:color="auto"/>
        <w:right w:val="none" w:sz="0" w:space="0" w:color="auto"/>
      </w:divBdr>
    </w:div>
    <w:div w:id="211952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Zeben\Google%20Drive\School\Ethics\HRBV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eben\Google%20Drive\School\Ethics\HRBV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Zeben\Google%20Drive\School\Ethics\HRBV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Zeben\Google%20Drive\School\Ethics\HRBV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Zeben\Google%20Drive\School\Ethics\HRBV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8091333636177263E-2"/>
          <c:y val="0.15865011665208514"/>
          <c:w val="0.93808256440777016"/>
          <c:h val="0.75730606590842819"/>
        </c:manualLayout>
      </c:layout>
      <c:pieChart>
        <c:varyColors val="1"/>
        <c:ser>
          <c:idx val="0"/>
          <c:order val="0"/>
          <c:tx>
            <c:strRef>
              <c:f>'industry '!$C$11</c:f>
              <c:strCache>
                <c:ptCount val="1"/>
                <c:pt idx="0">
                  <c:v># Customers (M)</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28167420916641756"/>
                  <c:y val="9.0810002916302136E-3"/>
                </c:manualLayout>
              </c:layou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'industry '!$B$12:$B$14</c:f>
              <c:strCache>
                <c:ptCount val="3"/>
                <c:pt idx="0">
                  <c:v>CPAs &amp; Unbranded</c:v>
                </c:pt>
                <c:pt idx="1">
                  <c:v>H&amp;R Block</c:v>
                </c:pt>
                <c:pt idx="2">
                  <c:v>Hewitt&amp;Liberty Tax</c:v>
                </c:pt>
              </c:strCache>
            </c:strRef>
          </c:cat>
          <c:val>
            <c:numRef>
              <c:f>'industry '!$C$12:$C$14</c:f>
              <c:numCache>
                <c:formatCode>General</c:formatCode>
                <c:ptCount val="3"/>
                <c:pt idx="0">
                  <c:v>53</c:v>
                </c:pt>
                <c:pt idx="1">
                  <c:v>16.3</c:v>
                </c:pt>
                <c:pt idx="2">
                  <c:v>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0117180698841796E-2"/>
          <c:y val="0.1688163458734325"/>
          <c:w val="0.60381257218806783"/>
          <c:h val="0.71807560513269175"/>
        </c:manualLayout>
      </c:layout>
      <c:pieChart>
        <c:varyColors val="1"/>
        <c:ser>
          <c:idx val="0"/>
          <c:order val="0"/>
          <c:tx>
            <c:strRef>
              <c:f>'industry '!$D$11</c:f>
              <c:strCache>
                <c:ptCount val="1"/>
                <c:pt idx="0">
                  <c:v>Revenues (B$)</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'industry '!$B$12:$B$14</c:f>
              <c:strCache>
                <c:ptCount val="3"/>
                <c:pt idx="0">
                  <c:v>CPAs &amp; Unbranded</c:v>
                </c:pt>
                <c:pt idx="1">
                  <c:v>H&amp;R Block</c:v>
                </c:pt>
                <c:pt idx="2">
                  <c:v>Hewitt&amp;Liberty Tax</c:v>
                </c:pt>
              </c:strCache>
            </c:strRef>
          </c:cat>
          <c:val>
            <c:numRef>
              <c:f>'industry '!$D$12:$D$14</c:f>
              <c:numCache>
                <c:formatCode>"$"#,##0.0</c:formatCode>
                <c:ptCount val="3"/>
                <c:pt idx="0">
                  <c:v>9.4</c:v>
                </c:pt>
                <c:pt idx="1">
                  <c:v>1.8</c:v>
                </c:pt>
                <c:pt idx="2">
                  <c:v>1.7999999999999996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4938362731706833"/>
          <c:y val="9.585338291046952E-2"/>
          <c:w val="0.32503666111641072"/>
          <c:h val="0.7513688393117525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0.18355595714470119"/>
          <c:y val="0.21033057984316375"/>
          <c:w val="0.44765463692038487"/>
          <c:h val="0.74609106153397475"/>
        </c:manualLayout>
      </c:layout>
      <c:pieChart>
        <c:varyColors val="1"/>
        <c:ser>
          <c:idx val="0"/>
          <c:order val="0"/>
          <c:tx>
            <c:strRef>
              <c:f>Stopre!$D$22</c:f>
              <c:strCache>
                <c:ptCount val="1"/>
                <c:pt idx="0">
                  <c:v>Revenues</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Lbls>
            <c:dLbl>
              <c:idx val="1"/>
              <c:layout>
                <c:manualLayout>
                  <c:x val="-0.24908593549816826"/>
                  <c:y val="6.7411880263433324E-2"/>
                </c:manualLayout>
              </c:layou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Stopre!$C$23:$C$24</c:f>
              <c:strCache>
                <c:ptCount val="2"/>
                <c:pt idx="0">
                  <c:v>Tax returns</c:v>
                </c:pt>
                <c:pt idx="1">
                  <c:v>RALs</c:v>
                </c:pt>
              </c:strCache>
            </c:strRef>
          </c:cat>
          <c:val>
            <c:numRef>
              <c:f>Stopre!$D$23:$D$24</c:f>
              <c:numCache>
                <c:formatCode>"$"#,##0</c:formatCode>
                <c:ptCount val="2"/>
                <c:pt idx="0">
                  <c:v>2157</c:v>
                </c:pt>
                <c:pt idx="1">
                  <c:v>139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3714797125769116"/>
          <c:y val="0.16139381350337342"/>
          <c:w val="0.24296303945613357"/>
          <c:h val="0.58275517643627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Revenues (M$) per Business Line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'BU Proficability'!$C$6</c:f>
              <c:strCache>
                <c:ptCount val="1"/>
                <c:pt idx="0">
                  <c:v>US Tax</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'BU Proficability'!$D$5:$I$5</c:f>
              <c:numCache>
                <c:formatCode>General</c:formatCode>
                <c:ptCount val="6"/>
                <c:pt idx="0">
                  <c:v>1998</c:v>
                </c:pt>
                <c:pt idx="1">
                  <c:v>1999</c:v>
                </c:pt>
                <c:pt idx="2">
                  <c:v>2000</c:v>
                </c:pt>
                <c:pt idx="3">
                  <c:v>2001</c:v>
                </c:pt>
                <c:pt idx="4">
                  <c:v>2002</c:v>
                </c:pt>
                <c:pt idx="5">
                  <c:v>2003</c:v>
                </c:pt>
              </c:numCache>
            </c:numRef>
          </c:cat>
          <c:val>
            <c:numRef>
              <c:f>'BU Proficability'!$D$6:$I$6</c:f>
              <c:numCache>
                <c:formatCode>"$"#,##0</c:formatCode>
                <c:ptCount val="6"/>
                <c:pt idx="0">
                  <c:v>252</c:v>
                </c:pt>
                <c:pt idx="1">
                  <c:v>314</c:v>
                </c:pt>
                <c:pt idx="2">
                  <c:v>320</c:v>
                </c:pt>
                <c:pt idx="3">
                  <c:v>434</c:v>
                </c:pt>
                <c:pt idx="4">
                  <c:v>534</c:v>
                </c:pt>
                <c:pt idx="5">
                  <c:v>547</c:v>
                </c:pt>
              </c:numCache>
            </c:numRef>
          </c:val>
        </c:ser>
        <c:ser>
          <c:idx val="1"/>
          <c:order val="1"/>
          <c:tx>
            <c:strRef>
              <c:f>'BU Proficability'!$C$7</c:f>
              <c:strCache>
                <c:ptCount val="1"/>
                <c:pt idx="0">
                  <c:v>Mortgage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'BU Proficability'!$D$5:$I$5</c:f>
              <c:numCache>
                <c:formatCode>General</c:formatCode>
                <c:ptCount val="6"/>
                <c:pt idx="0">
                  <c:v>1998</c:v>
                </c:pt>
                <c:pt idx="1">
                  <c:v>1999</c:v>
                </c:pt>
                <c:pt idx="2">
                  <c:v>2000</c:v>
                </c:pt>
                <c:pt idx="3">
                  <c:v>2001</c:v>
                </c:pt>
                <c:pt idx="4">
                  <c:v>2002</c:v>
                </c:pt>
                <c:pt idx="5">
                  <c:v>2003</c:v>
                </c:pt>
              </c:numCache>
            </c:numRef>
          </c:cat>
          <c:val>
            <c:numRef>
              <c:f>'BU Proficability'!$D$7:$I$7</c:f>
              <c:numCache>
                <c:formatCode>General</c:formatCode>
                <c:ptCount val="6"/>
                <c:pt idx="2" formatCode="&quot;$&quot;#,##0">
                  <c:v>89</c:v>
                </c:pt>
                <c:pt idx="3" formatCode="&quot;$&quot;#,##0">
                  <c:v>138</c:v>
                </c:pt>
                <c:pt idx="4" formatCode="&quot;$&quot;#,##0">
                  <c:v>339</c:v>
                </c:pt>
                <c:pt idx="5" formatCode="&quot;$&quot;#,##0">
                  <c:v>694</c:v>
                </c:pt>
              </c:numCache>
            </c:numRef>
          </c:val>
        </c:ser>
        <c:ser>
          <c:idx val="2"/>
          <c:order val="2"/>
          <c:tx>
            <c:strRef>
              <c:f>'BU Proficability'!$C$8</c:f>
              <c:strCache>
                <c:ptCount val="1"/>
                <c:pt idx="0">
                  <c:v>Business Services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'BU Proficability'!$D$5:$I$5</c:f>
              <c:numCache>
                <c:formatCode>General</c:formatCode>
                <c:ptCount val="6"/>
                <c:pt idx="0">
                  <c:v>1998</c:v>
                </c:pt>
                <c:pt idx="1">
                  <c:v>1999</c:v>
                </c:pt>
                <c:pt idx="2">
                  <c:v>2000</c:v>
                </c:pt>
                <c:pt idx="3">
                  <c:v>2001</c:v>
                </c:pt>
                <c:pt idx="4">
                  <c:v>2002</c:v>
                </c:pt>
                <c:pt idx="5">
                  <c:v>2003</c:v>
                </c:pt>
              </c:numCache>
            </c:numRef>
          </c:cat>
          <c:val>
            <c:numRef>
              <c:f>'BU Proficability'!$D$8:$I$8</c:f>
              <c:numCache>
                <c:formatCode>"$"#,##0</c:formatCode>
                <c:ptCount val="6"/>
                <c:pt idx="1">
                  <c:v>7.1</c:v>
                </c:pt>
                <c:pt idx="2">
                  <c:v>17.100000000000001</c:v>
                </c:pt>
                <c:pt idx="3">
                  <c:v>16</c:v>
                </c:pt>
                <c:pt idx="4">
                  <c:v>23</c:v>
                </c:pt>
                <c:pt idx="5">
                  <c:v>-14</c:v>
                </c:pt>
              </c:numCache>
            </c:numRef>
          </c:val>
        </c:ser>
        <c:ser>
          <c:idx val="3"/>
          <c:order val="3"/>
          <c:tx>
            <c:strRef>
              <c:f>'BU Proficability'!$C$9</c:f>
              <c:strCache>
                <c:ptCount val="1"/>
                <c:pt idx="0">
                  <c:v>Investment Services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'BU Proficability'!$D$5:$I$5</c:f>
              <c:numCache>
                <c:formatCode>General</c:formatCode>
                <c:ptCount val="6"/>
                <c:pt idx="0">
                  <c:v>1998</c:v>
                </c:pt>
                <c:pt idx="1">
                  <c:v>1999</c:v>
                </c:pt>
                <c:pt idx="2">
                  <c:v>2000</c:v>
                </c:pt>
                <c:pt idx="3">
                  <c:v>2001</c:v>
                </c:pt>
                <c:pt idx="4">
                  <c:v>2002</c:v>
                </c:pt>
                <c:pt idx="5">
                  <c:v>2003</c:v>
                </c:pt>
              </c:numCache>
            </c:numRef>
          </c:cat>
          <c:val>
            <c:numRef>
              <c:f>'BU Proficability'!$D$9:$I$9</c:f>
              <c:numCache>
                <c:formatCode>"$"#,##0</c:formatCode>
                <c:ptCount val="6"/>
                <c:pt idx="0">
                  <c:v>29</c:v>
                </c:pt>
                <c:pt idx="1">
                  <c:v>61</c:v>
                </c:pt>
                <c:pt idx="2">
                  <c:v>41</c:v>
                </c:pt>
                <c:pt idx="3">
                  <c:v>9</c:v>
                </c:pt>
                <c:pt idx="4">
                  <c:v>-55</c:v>
                </c:pt>
                <c:pt idx="5">
                  <c:v>-128</c:v>
                </c:pt>
              </c:numCache>
            </c:numRef>
          </c:val>
        </c:ser>
        <c:ser>
          <c:idx val="4"/>
          <c:order val="4"/>
          <c:tx>
            <c:strRef>
              <c:f>'BU Proficability'!$C$10</c:f>
              <c:strCache>
                <c:ptCount val="1"/>
                <c:pt idx="0">
                  <c:v>International Tax Operations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'BU Proficability'!$D$5:$I$5</c:f>
              <c:numCache>
                <c:formatCode>General</c:formatCode>
                <c:ptCount val="6"/>
                <c:pt idx="0">
                  <c:v>1998</c:v>
                </c:pt>
                <c:pt idx="1">
                  <c:v>1999</c:v>
                </c:pt>
                <c:pt idx="2">
                  <c:v>2000</c:v>
                </c:pt>
                <c:pt idx="3">
                  <c:v>2001</c:v>
                </c:pt>
                <c:pt idx="4">
                  <c:v>2002</c:v>
                </c:pt>
                <c:pt idx="5">
                  <c:v>2003</c:v>
                </c:pt>
              </c:numCache>
            </c:numRef>
          </c:cat>
          <c:val>
            <c:numRef>
              <c:f>'BU Proficability'!$D$10:$I$10</c:f>
              <c:numCache>
                <c:formatCode>"$"#,##0</c:formatCode>
                <c:ptCount val="6"/>
                <c:pt idx="0">
                  <c:v>12</c:v>
                </c:pt>
                <c:pt idx="1">
                  <c:v>2.5</c:v>
                </c:pt>
                <c:pt idx="2">
                  <c:v>5</c:v>
                </c:pt>
                <c:pt idx="3">
                  <c:v>6</c:v>
                </c:pt>
                <c:pt idx="4">
                  <c:v>7</c:v>
                </c:pt>
                <c:pt idx="5">
                  <c:v>10</c:v>
                </c:pt>
              </c:numCache>
            </c:numRef>
          </c:val>
        </c:ser>
        <c:ser>
          <c:idx val="5"/>
          <c:order val="5"/>
          <c:tx>
            <c:strRef>
              <c:f>'BU Proficability'!$C$11</c:f>
              <c:strCache>
                <c:ptCount val="1"/>
                <c:pt idx="0">
                  <c:v>Corporate Operations</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'BU Proficability'!$D$5:$I$5</c:f>
              <c:numCache>
                <c:formatCode>General</c:formatCode>
                <c:ptCount val="6"/>
                <c:pt idx="0">
                  <c:v>1998</c:v>
                </c:pt>
                <c:pt idx="1">
                  <c:v>1999</c:v>
                </c:pt>
                <c:pt idx="2">
                  <c:v>2000</c:v>
                </c:pt>
                <c:pt idx="3">
                  <c:v>2001</c:v>
                </c:pt>
                <c:pt idx="4">
                  <c:v>2002</c:v>
                </c:pt>
                <c:pt idx="5">
                  <c:v>2003</c:v>
                </c:pt>
              </c:numCache>
            </c:numRef>
          </c:cat>
          <c:val>
            <c:numRef>
              <c:f>'BU Proficability'!$D$11:$I$11</c:f>
              <c:numCache>
                <c:formatCode>"$"#,##0</c:formatCode>
                <c:ptCount val="6"/>
                <c:pt idx="0">
                  <c:v>3</c:v>
                </c:pt>
                <c:pt idx="1">
                  <c:v>-1</c:v>
                </c:pt>
                <c:pt idx="2">
                  <c:v>-60</c:v>
                </c:pt>
                <c:pt idx="3">
                  <c:v>-130</c:v>
                </c:pt>
                <c:pt idx="4">
                  <c:v>-131</c:v>
                </c:pt>
                <c:pt idx="5">
                  <c:v>-122</c:v>
                </c:pt>
              </c:numCache>
            </c:numRef>
          </c:val>
        </c:ser>
        <c:dLbls>
          <c:showLegendKey val="0"/>
          <c:showVal val="0"/>
          <c:showCatName val="0"/>
          <c:showSerName val="0"/>
          <c:showPercent val="0"/>
          <c:showBubbleSize val="0"/>
        </c:dLbls>
        <c:gapWidth val="100"/>
        <c:overlap val="-24"/>
        <c:axId val="209848464"/>
        <c:axId val="134213968"/>
      </c:barChart>
      <c:catAx>
        <c:axId val="2098484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4213968"/>
        <c:crosses val="autoZero"/>
        <c:auto val="1"/>
        <c:lblAlgn val="ctr"/>
        <c:lblOffset val="100"/>
        <c:noMultiLvlLbl val="0"/>
      </c:catAx>
      <c:valAx>
        <c:axId val="134213968"/>
        <c:scaling>
          <c:orientation val="minMax"/>
        </c:scaling>
        <c:delete val="0"/>
        <c:axPos val="l"/>
        <c:majorGridlines>
          <c:spPr>
            <a:ln w="9525" cap="flat" cmpd="sng" algn="ctr">
              <a:solidFill>
                <a:schemeClr val="tx2">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984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0.18691779105501261"/>
          <c:y val="0.18763706620005835"/>
          <c:w val="0.54738073569949486"/>
          <c:h val="0.75644976669582964"/>
        </c:manualLayout>
      </c:layout>
      <c:pieChart>
        <c:varyColors val="1"/>
        <c:ser>
          <c:idx val="0"/>
          <c:order val="0"/>
          <c:tx>
            <c:strRef>
              <c:f>'industry '!$C$35</c:f>
              <c:strCache>
                <c:ptCount val="1"/>
                <c:pt idx="0">
                  <c:v>Number of returns</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'industry '!$B$36:$B$40</c:f>
              <c:strCache>
                <c:ptCount val="5"/>
                <c:pt idx="0">
                  <c:v>Other</c:v>
                </c:pt>
                <c:pt idx="1">
                  <c:v>H&amp;R Block</c:v>
                </c:pt>
                <c:pt idx="2">
                  <c:v>Hewitt</c:v>
                </c:pt>
                <c:pt idx="3">
                  <c:v>Liberty Tax</c:v>
                </c:pt>
                <c:pt idx="4">
                  <c:v>CPAs/Unbranded</c:v>
                </c:pt>
              </c:strCache>
            </c:strRef>
          </c:cat>
          <c:val>
            <c:numRef>
              <c:f>'industry '!$C$36:$C$40</c:f>
              <c:numCache>
                <c:formatCode>General</c:formatCode>
                <c:ptCount val="5"/>
                <c:pt idx="0">
                  <c:v>58.399999999999977</c:v>
                </c:pt>
                <c:pt idx="1">
                  <c:v>16.3</c:v>
                </c:pt>
                <c:pt idx="2">
                  <c:v>2.5</c:v>
                </c:pt>
                <c:pt idx="3">
                  <c:v>0.3</c:v>
                </c:pt>
                <c:pt idx="4">
                  <c:v>53.2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8288435595035155"/>
          <c:y val="6.0763342082239678E-2"/>
          <c:w val="0.21577261605185954"/>
          <c:h val="0.916088509769612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91411CE4B42B3B117A010AA144430"/>
        <w:category>
          <w:name w:val="General"/>
          <w:gallery w:val="placeholder"/>
        </w:category>
        <w:types>
          <w:type w:val="bbPlcHdr"/>
        </w:types>
        <w:behaviors>
          <w:behavior w:val="content"/>
        </w:behaviors>
        <w:guid w:val="{4E30758A-4A0F-407E-9730-32CFD6CC6AF7}"/>
      </w:docPartPr>
      <w:docPartBody>
        <w:p w:rsidR="00A854D6" w:rsidRDefault="00B621CA" w:rsidP="00B621CA">
          <w:pPr>
            <w:pStyle w:val="63E91411CE4B42B3B117A010AA144430"/>
          </w:pPr>
          <w:r>
            <w:rPr>
              <w:color w:val="FFFFFF" w:themeColor="background1"/>
            </w:rPr>
            <w:t>[Pick the date]</w:t>
          </w:r>
        </w:p>
      </w:docPartBody>
    </w:docPart>
    <w:docPart>
      <w:docPartPr>
        <w:name w:val="F3409A85C65F419987DA230000830C57"/>
        <w:category>
          <w:name w:val="General"/>
          <w:gallery w:val="placeholder"/>
        </w:category>
        <w:types>
          <w:type w:val="bbPlcHdr"/>
        </w:types>
        <w:behaviors>
          <w:behavior w:val="content"/>
        </w:behaviors>
        <w:guid w:val="{E418F263-4FE2-46F6-8605-5CDE15523F9F}"/>
      </w:docPartPr>
      <w:docPartBody>
        <w:p w:rsidR="00A854D6" w:rsidRDefault="00B621CA" w:rsidP="00B621CA">
          <w:pPr>
            <w:pStyle w:val="F3409A85C65F419987DA230000830C57"/>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CA"/>
    <w:rsid w:val="00447CDE"/>
    <w:rsid w:val="00A854D6"/>
    <w:rsid w:val="00AF11EB"/>
    <w:rsid w:val="00B621CA"/>
    <w:rsid w:val="00C76AA6"/>
    <w:rsid w:val="00C93F3E"/>
    <w:rsid w:val="00CC540F"/>
    <w:rsid w:val="00D55B7F"/>
    <w:rsid w:val="00E3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E91411CE4B42B3B117A010AA144430">
    <w:name w:val="63E91411CE4B42B3B117A010AA144430"/>
    <w:rsid w:val="00B621CA"/>
  </w:style>
  <w:style w:type="paragraph" w:customStyle="1" w:styleId="F3409A85C65F419987DA230000830C57">
    <w:name w:val="F3409A85C65F419987DA230000830C57"/>
    <w:rsid w:val="00B62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MBA-691: H&amp;R Block EFS Case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13</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SImon Foucher (710 7722)</vt:lpstr>
    </vt:vector>
  </TitlesOfParts>
  <Company>Stikeman Elliott</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SImon Foucher (710 7722)</dc:title>
  <dc:creator>Zeben</dc:creator>
  <cp:lastModifiedBy>Zeben</cp:lastModifiedBy>
  <cp:revision>28</cp:revision>
  <dcterms:created xsi:type="dcterms:W3CDTF">2015-07-18T21:28:00Z</dcterms:created>
  <dcterms:modified xsi:type="dcterms:W3CDTF">2015-07-21T11:58:00Z</dcterms:modified>
</cp:coreProperties>
</file>