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49A" w:rsidRDefault="00C4349A" w:rsidP="00B43074">
      <w:r>
        <w:t>Problem statement</w:t>
      </w:r>
    </w:p>
    <w:p w:rsidR="00C4349A" w:rsidRDefault="0037503C" w:rsidP="0037503C">
      <w:pPr>
        <w:pStyle w:val="ListParagraph"/>
        <w:numPr>
          <w:ilvl w:val="0"/>
          <w:numId w:val="3"/>
        </w:numPr>
      </w:pPr>
      <w:r>
        <w:t xml:space="preserve">Prepare an IS with </w:t>
      </w:r>
      <w:proofErr w:type="spellStart"/>
      <w:r>
        <w:t>Absorbtion</w:t>
      </w:r>
      <w:proofErr w:type="spellEnd"/>
      <w:r>
        <w:t xml:space="preserve"> and variable costing methods, and discuss delta</w:t>
      </w:r>
    </w:p>
    <w:p w:rsidR="0037503C" w:rsidRDefault="0037503C" w:rsidP="0037503C">
      <w:pPr>
        <w:pStyle w:val="ListParagraph"/>
      </w:pPr>
    </w:p>
    <w:p w:rsidR="00C4349A" w:rsidRDefault="00C4349A" w:rsidP="00B43074">
      <w:r>
        <w:t>Quantitative analysis</w:t>
      </w:r>
    </w:p>
    <w:p w:rsidR="00C4349A" w:rsidRDefault="00C4349A" w:rsidP="00B43074"/>
    <w:p w:rsidR="008C35AC" w:rsidRDefault="00B43074" w:rsidP="00CA23D7">
      <w:pPr>
        <w:pStyle w:val="ListParagraph"/>
        <w:numPr>
          <w:ilvl w:val="0"/>
          <w:numId w:val="1"/>
        </w:numPr>
      </w:pPr>
      <w:r>
        <w:t xml:space="preserve">Exhibit </w:t>
      </w:r>
      <w:r w:rsidR="008C35AC">
        <w:t>1</w:t>
      </w:r>
      <w:r w:rsidR="00CA23D7">
        <w:t xml:space="preserve"> shows budgeted and actual revenues and COGS. COGS have been adjusted to exclude SGAs, which are not </w:t>
      </w:r>
      <w:proofErr w:type="spellStart"/>
      <w:r w:rsidR="00CA23D7">
        <w:t>inventoriable</w:t>
      </w:r>
      <w:proofErr w:type="spellEnd"/>
      <w:r w:rsidR="00CA23D7">
        <w:t>.</w:t>
      </w:r>
    </w:p>
    <w:p w:rsidR="00CA23D7" w:rsidRDefault="00CA23D7" w:rsidP="00CA23D7">
      <w:pPr>
        <w:pStyle w:val="ListParagraph"/>
        <w:numPr>
          <w:ilvl w:val="0"/>
          <w:numId w:val="1"/>
        </w:numPr>
      </w:pPr>
      <w:r>
        <w:t xml:space="preserve">Exhibit 2 shows how </w:t>
      </w:r>
      <w:r w:rsidR="00A14062">
        <w:t>variances</w:t>
      </w:r>
      <w:r>
        <w:t xml:space="preserve"> were calculated.</w:t>
      </w:r>
      <w:r w:rsidR="00A14062">
        <w:t xml:space="preserve"> Labor and materials provide favorable variances (less production = less variable costs), whereas manufacturing overhead variances are unfavorable since the final denominator level is smaller than the one used for budgeting.</w:t>
      </w:r>
    </w:p>
    <w:p w:rsidR="00A14062" w:rsidRDefault="00A14062" w:rsidP="00CA23D7">
      <w:pPr>
        <w:pStyle w:val="ListParagraph"/>
        <w:numPr>
          <w:ilvl w:val="0"/>
          <w:numId w:val="1"/>
        </w:numPr>
      </w:pPr>
      <w:r>
        <w:t>Exhibit 3 is the complete income statement. The row of total overheads has been left empty on purpose since all the overhead costs are already accounted for in COGS and variances.</w:t>
      </w:r>
    </w:p>
    <w:p w:rsidR="00925884" w:rsidRDefault="00925884" w:rsidP="00CA23D7">
      <w:pPr>
        <w:pStyle w:val="ListParagraph"/>
        <w:numPr>
          <w:ilvl w:val="0"/>
          <w:numId w:val="1"/>
        </w:numPr>
      </w:pPr>
      <w:r>
        <w:t>Exhibit 4 shows that the discount company’s request would generate a contribution margin of $5.75/unit</w:t>
      </w:r>
      <w:r w:rsidR="00C14CE9">
        <w:t xml:space="preserve"> (excluding </w:t>
      </w:r>
      <w:proofErr w:type="gramStart"/>
      <w:r w:rsidR="00C14CE9">
        <w:t>Fixed</w:t>
      </w:r>
      <w:proofErr w:type="gramEnd"/>
      <w:r w:rsidR="00C14CE9">
        <w:t xml:space="preserve"> cost). Since manufacturing these batches would not affect fixed costs already incurred, it is a profitable proposition.</w:t>
      </w:r>
    </w:p>
    <w:p w:rsidR="00C4349A" w:rsidRDefault="00C4349A" w:rsidP="00C4349A"/>
    <w:p w:rsidR="00C4349A" w:rsidRDefault="005B61EC" w:rsidP="00C4349A">
      <w:r>
        <w:t>Qualitative Analysis</w:t>
      </w:r>
    </w:p>
    <w:p w:rsidR="005B61EC" w:rsidRDefault="0037503C" w:rsidP="0037503C">
      <w:pPr>
        <w:pStyle w:val="ListParagraph"/>
        <w:numPr>
          <w:ilvl w:val="0"/>
          <w:numId w:val="4"/>
        </w:numPr>
      </w:pPr>
      <w:r>
        <w:t xml:space="preserve">The difference of net income between the 2 costing methods is due to the fact that by using absorption method, companies can effectively </w:t>
      </w:r>
      <w:proofErr w:type="spellStart"/>
      <w:r>
        <w:t>inventorize</w:t>
      </w:r>
      <w:proofErr w:type="spellEnd"/>
      <w:r>
        <w:t xml:space="preserve"> fixed costs. Even though the costs are still physically incurred in the period, the matching concept of Financial Accounting states that revenues and costs should be reported on the same period; as such, absorbed fixed costs are buried in the company’s inventory account until either sold, or written off for various reasons (market changes, technological depreciation, theft, physical degradation over time, etc…). Cash flow statements would more </w:t>
      </w:r>
      <w:r w:rsidR="00925884">
        <w:t>closely</w:t>
      </w:r>
      <w:r>
        <w:t xml:space="preserve"> resemble variable costing that income statements. </w:t>
      </w:r>
    </w:p>
    <w:p w:rsidR="00925884" w:rsidRDefault="00925884" w:rsidP="0037503C">
      <w:pPr>
        <w:pStyle w:val="ListParagraph"/>
        <w:numPr>
          <w:ilvl w:val="0"/>
          <w:numId w:val="4"/>
        </w:numPr>
      </w:pPr>
      <w:r>
        <w:t xml:space="preserve">Using absorption costing, the company beat </w:t>
      </w:r>
      <w:proofErr w:type="gramStart"/>
      <w:r>
        <w:t>it’s</w:t>
      </w:r>
      <w:proofErr w:type="gramEnd"/>
      <w:r>
        <w:t xml:space="preserve"> budget estimate (and most likely pleased shareholders with such a performance), but with variable costing, we can see that the company only met 37% of its budget estimates. This puts the company in a risky situation because costs already incurred are now in inventory, pressuring sales for future periods. If sales volumes do not significantly improve in the short term, the company can anticipate potential liquidity issues due to the fact that it is converting significant amount of cash into inventory.</w:t>
      </w:r>
    </w:p>
    <w:p w:rsidR="005B61EC" w:rsidRDefault="005B61EC" w:rsidP="005B61EC"/>
    <w:p w:rsidR="005B61EC" w:rsidRDefault="005B61EC" w:rsidP="005B61EC">
      <w:r>
        <w:t>Recommendation</w:t>
      </w:r>
    </w:p>
    <w:p w:rsidR="00B43074" w:rsidRDefault="00925884" w:rsidP="00B43074">
      <w:pPr>
        <w:pStyle w:val="ListParagraph"/>
        <w:numPr>
          <w:ilvl w:val="0"/>
          <w:numId w:val="5"/>
        </w:numPr>
      </w:pPr>
      <w:r>
        <w:t xml:space="preserve">Regarding the discount company request, since the </w:t>
      </w:r>
      <w:r w:rsidR="00C14CE9">
        <w:t xml:space="preserve">offer would generate additional profits, management should seriously consider it. Besides obvious financial benefits, it would also have the benefits of creating more job for employees, potentially future partnership opportunities with the reseller and ‘dilute’ the significant </w:t>
      </w:r>
      <w:proofErr w:type="spellStart"/>
      <w:r w:rsidR="00C14CE9">
        <w:t>inventorization</w:t>
      </w:r>
      <w:proofErr w:type="spellEnd"/>
      <w:r w:rsidR="00C14CE9">
        <w:t xml:space="preserve"> of costs for this period.</w:t>
      </w:r>
    </w:p>
    <w:p w:rsidR="00C14CE9" w:rsidRDefault="00C14CE9" w:rsidP="00B43074">
      <w:pPr>
        <w:pStyle w:val="ListParagraph"/>
        <w:numPr>
          <w:ilvl w:val="0"/>
          <w:numId w:val="5"/>
        </w:numPr>
      </w:pPr>
      <w:r>
        <w:t>In terms of costing system choices, the recommendation is to keep absorption</w:t>
      </w:r>
      <w:bookmarkStart w:id="0" w:name="_GoBack"/>
      <w:bookmarkEnd w:id="0"/>
      <w:r>
        <w:t xml:space="preserve"> costing for external reporting, but use variable costing for budgeting and setting management performance compensation.</w:t>
      </w:r>
    </w:p>
    <w:p w:rsidR="00C14CE9" w:rsidRDefault="00C14CE9" w:rsidP="00C14CE9">
      <w:pPr>
        <w:pStyle w:val="ListParagraph"/>
      </w:pPr>
    </w:p>
    <w:p w:rsidR="005B61EC" w:rsidRDefault="005B61EC">
      <w:r>
        <w:br w:type="page"/>
      </w:r>
    </w:p>
    <w:p w:rsidR="00B43074" w:rsidRDefault="008740CC" w:rsidP="00B43074">
      <w:r>
        <w:lastRenderedPageBreak/>
        <w:t>Exhibit 1: Budgeted and Actual Revenues</w:t>
      </w:r>
      <w:r w:rsidR="00CA23D7">
        <w:t xml:space="preserve"> and COGS</w:t>
      </w:r>
    </w:p>
    <w:p w:rsidR="008740CC" w:rsidRDefault="008740CC" w:rsidP="00B43074"/>
    <w:p w:rsidR="008740CC" w:rsidRDefault="00CA23D7" w:rsidP="00B43074">
      <w:r w:rsidRPr="00CA23D7">
        <w:drawing>
          <wp:inline distT="0" distB="0" distL="0" distR="0">
            <wp:extent cx="4985385" cy="381635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85385" cy="3816350"/>
                    </a:xfrm>
                    <a:prstGeom prst="rect">
                      <a:avLst/>
                    </a:prstGeom>
                    <a:noFill/>
                    <a:ln>
                      <a:noFill/>
                    </a:ln>
                  </pic:spPr>
                </pic:pic>
              </a:graphicData>
            </a:graphic>
          </wp:inline>
        </w:drawing>
      </w:r>
    </w:p>
    <w:p w:rsidR="008740CC" w:rsidRDefault="008740CC" w:rsidP="00B43074"/>
    <w:p w:rsidR="008740CC" w:rsidRDefault="008740CC" w:rsidP="00B43074"/>
    <w:p w:rsidR="008740CC" w:rsidRDefault="008740CC" w:rsidP="00B43074"/>
    <w:p w:rsidR="00CA23D7" w:rsidRDefault="00CA23D7">
      <w:r>
        <w:br w:type="page"/>
      </w:r>
    </w:p>
    <w:p w:rsidR="00CA23D7" w:rsidRDefault="00CA23D7" w:rsidP="00B43074">
      <w:r>
        <w:lastRenderedPageBreak/>
        <w:t>Exhibit 2: Calculation of variances</w:t>
      </w:r>
    </w:p>
    <w:p w:rsidR="00CA23D7" w:rsidRDefault="00CA23D7" w:rsidP="00B43074"/>
    <w:p w:rsidR="00A14062" w:rsidRDefault="00CA23D7" w:rsidP="00B43074">
      <w:r w:rsidRPr="00CA23D7">
        <w:drawing>
          <wp:inline distT="0" distB="0" distL="0" distR="0" wp14:anchorId="182FB202" wp14:editId="78CCB61D">
            <wp:extent cx="5943600" cy="516741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5167413"/>
                    </a:xfrm>
                    <a:prstGeom prst="rect">
                      <a:avLst/>
                    </a:prstGeom>
                    <a:noFill/>
                    <a:ln>
                      <a:noFill/>
                    </a:ln>
                  </pic:spPr>
                </pic:pic>
              </a:graphicData>
            </a:graphic>
          </wp:inline>
        </w:drawing>
      </w:r>
    </w:p>
    <w:p w:rsidR="00A14062" w:rsidRDefault="00A14062">
      <w:r>
        <w:br w:type="page"/>
      </w:r>
    </w:p>
    <w:p w:rsidR="008740CC" w:rsidRDefault="00A14062" w:rsidP="00B43074">
      <w:r>
        <w:lastRenderedPageBreak/>
        <w:t>Exhibit 3 – Income Statement</w:t>
      </w:r>
    </w:p>
    <w:p w:rsidR="00A14062" w:rsidRDefault="00A14062" w:rsidP="00B43074"/>
    <w:p w:rsidR="00A14062" w:rsidRDefault="00A14062" w:rsidP="00B43074">
      <w:r w:rsidRPr="00A14062">
        <w:drawing>
          <wp:inline distT="0" distB="0" distL="0" distR="0">
            <wp:extent cx="5828030" cy="3625850"/>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28030" cy="3625850"/>
                    </a:xfrm>
                    <a:prstGeom prst="rect">
                      <a:avLst/>
                    </a:prstGeom>
                    <a:noFill/>
                    <a:ln>
                      <a:noFill/>
                    </a:ln>
                  </pic:spPr>
                </pic:pic>
              </a:graphicData>
            </a:graphic>
          </wp:inline>
        </w:drawing>
      </w:r>
    </w:p>
    <w:p w:rsidR="00B43074" w:rsidRDefault="00B43074" w:rsidP="00B43074"/>
    <w:p w:rsidR="00925884" w:rsidRDefault="00925884" w:rsidP="00B43074"/>
    <w:p w:rsidR="00925884" w:rsidRDefault="00925884" w:rsidP="00B43074">
      <w:r>
        <w:t>Exhibit 4: Assessment of the new offer</w:t>
      </w:r>
    </w:p>
    <w:p w:rsidR="00925884" w:rsidRDefault="00925884" w:rsidP="00B43074"/>
    <w:tbl>
      <w:tblPr>
        <w:tblW w:w="2980" w:type="dxa"/>
        <w:tblInd w:w="93" w:type="dxa"/>
        <w:tblLook w:val="04A0" w:firstRow="1" w:lastRow="0" w:firstColumn="1" w:lastColumn="0" w:noHBand="0" w:noVBand="1"/>
      </w:tblPr>
      <w:tblGrid>
        <w:gridCol w:w="2020"/>
        <w:gridCol w:w="960"/>
      </w:tblGrid>
      <w:tr w:rsidR="00925884" w:rsidRPr="00925884" w:rsidTr="00925884">
        <w:trPr>
          <w:trHeight w:val="300"/>
        </w:trPr>
        <w:tc>
          <w:tcPr>
            <w:tcW w:w="2020" w:type="dxa"/>
            <w:tcBorders>
              <w:top w:val="nil"/>
              <w:left w:val="nil"/>
              <w:bottom w:val="nil"/>
              <w:right w:val="nil"/>
            </w:tcBorders>
            <w:shd w:val="clear" w:color="auto" w:fill="auto"/>
            <w:noWrap/>
            <w:vAlign w:val="bottom"/>
            <w:hideMark/>
          </w:tcPr>
          <w:p w:rsidR="00925884" w:rsidRPr="00925884" w:rsidRDefault="00925884" w:rsidP="00925884">
            <w:pPr>
              <w:rPr>
                <w:rFonts w:ascii="Calibri" w:eastAsia="Times New Roman" w:hAnsi="Calibri" w:cs="Times New Roman"/>
                <w:color w:val="000000"/>
              </w:rPr>
            </w:pPr>
            <w:r w:rsidRPr="00925884">
              <w:rPr>
                <w:rFonts w:ascii="Calibri" w:eastAsia="Times New Roman" w:hAnsi="Calibri" w:cs="Times New Roman"/>
                <w:color w:val="000000"/>
              </w:rPr>
              <w:t>Selling Price</w:t>
            </w:r>
          </w:p>
        </w:tc>
        <w:tc>
          <w:tcPr>
            <w:tcW w:w="960" w:type="dxa"/>
            <w:tcBorders>
              <w:top w:val="nil"/>
              <w:left w:val="nil"/>
              <w:bottom w:val="nil"/>
              <w:right w:val="nil"/>
            </w:tcBorders>
            <w:shd w:val="clear" w:color="auto" w:fill="auto"/>
            <w:noWrap/>
            <w:vAlign w:val="bottom"/>
            <w:hideMark/>
          </w:tcPr>
          <w:p w:rsidR="00925884" w:rsidRPr="00925884" w:rsidRDefault="00925884" w:rsidP="00925884">
            <w:pPr>
              <w:jc w:val="right"/>
              <w:rPr>
                <w:rFonts w:ascii="Calibri" w:eastAsia="Times New Roman" w:hAnsi="Calibri" w:cs="Times New Roman"/>
                <w:color w:val="000000"/>
              </w:rPr>
            </w:pPr>
            <w:r w:rsidRPr="00925884">
              <w:rPr>
                <w:rFonts w:ascii="Calibri" w:eastAsia="Times New Roman" w:hAnsi="Calibri" w:cs="Times New Roman"/>
                <w:color w:val="000000"/>
              </w:rPr>
              <w:t>28.75</w:t>
            </w:r>
          </w:p>
        </w:tc>
      </w:tr>
      <w:tr w:rsidR="00925884" w:rsidRPr="00925884" w:rsidTr="00925884">
        <w:trPr>
          <w:trHeight w:val="300"/>
        </w:trPr>
        <w:tc>
          <w:tcPr>
            <w:tcW w:w="2020" w:type="dxa"/>
            <w:tcBorders>
              <w:top w:val="nil"/>
              <w:left w:val="nil"/>
              <w:bottom w:val="nil"/>
              <w:right w:val="nil"/>
            </w:tcBorders>
            <w:shd w:val="clear" w:color="auto" w:fill="auto"/>
            <w:noWrap/>
            <w:vAlign w:val="bottom"/>
            <w:hideMark/>
          </w:tcPr>
          <w:p w:rsidR="00925884" w:rsidRPr="00925884" w:rsidRDefault="00925884" w:rsidP="00925884">
            <w:pPr>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25884" w:rsidRPr="00925884" w:rsidRDefault="00925884" w:rsidP="00925884">
            <w:pPr>
              <w:rPr>
                <w:rFonts w:ascii="Calibri" w:eastAsia="Times New Roman" w:hAnsi="Calibri" w:cs="Times New Roman"/>
                <w:color w:val="000000"/>
              </w:rPr>
            </w:pPr>
          </w:p>
        </w:tc>
      </w:tr>
      <w:tr w:rsidR="00925884" w:rsidRPr="00925884" w:rsidTr="00925884">
        <w:trPr>
          <w:trHeight w:val="300"/>
        </w:trPr>
        <w:tc>
          <w:tcPr>
            <w:tcW w:w="2020" w:type="dxa"/>
            <w:tcBorders>
              <w:top w:val="nil"/>
              <w:left w:val="nil"/>
              <w:bottom w:val="nil"/>
              <w:right w:val="nil"/>
            </w:tcBorders>
            <w:shd w:val="clear" w:color="auto" w:fill="auto"/>
            <w:noWrap/>
            <w:vAlign w:val="bottom"/>
            <w:hideMark/>
          </w:tcPr>
          <w:p w:rsidR="00925884" w:rsidRPr="00925884" w:rsidRDefault="00925884" w:rsidP="00925884">
            <w:pPr>
              <w:rPr>
                <w:rFonts w:ascii="Calibri" w:eastAsia="Times New Roman" w:hAnsi="Calibri" w:cs="Times New Roman"/>
                <w:color w:val="000000"/>
              </w:rPr>
            </w:pPr>
            <w:r w:rsidRPr="00925884">
              <w:rPr>
                <w:rFonts w:ascii="Calibri" w:eastAsia="Times New Roman" w:hAnsi="Calibri" w:cs="Times New Roman"/>
                <w:color w:val="000000"/>
              </w:rPr>
              <w:t>Direct Labor</w:t>
            </w:r>
          </w:p>
        </w:tc>
        <w:tc>
          <w:tcPr>
            <w:tcW w:w="960" w:type="dxa"/>
            <w:tcBorders>
              <w:top w:val="nil"/>
              <w:left w:val="nil"/>
              <w:bottom w:val="nil"/>
              <w:right w:val="nil"/>
            </w:tcBorders>
            <w:shd w:val="clear" w:color="auto" w:fill="auto"/>
            <w:noWrap/>
            <w:vAlign w:val="bottom"/>
            <w:hideMark/>
          </w:tcPr>
          <w:p w:rsidR="00925884" w:rsidRPr="00925884" w:rsidRDefault="00925884" w:rsidP="00925884">
            <w:pPr>
              <w:jc w:val="right"/>
              <w:rPr>
                <w:rFonts w:ascii="Calibri" w:eastAsia="Times New Roman" w:hAnsi="Calibri" w:cs="Times New Roman"/>
                <w:color w:val="000000"/>
              </w:rPr>
            </w:pPr>
            <w:r w:rsidRPr="00925884">
              <w:rPr>
                <w:rFonts w:ascii="Calibri" w:eastAsia="Times New Roman" w:hAnsi="Calibri" w:cs="Times New Roman"/>
                <w:color w:val="000000"/>
              </w:rPr>
              <w:t>9</w:t>
            </w:r>
          </w:p>
        </w:tc>
      </w:tr>
      <w:tr w:rsidR="00925884" w:rsidRPr="00925884" w:rsidTr="00925884">
        <w:trPr>
          <w:trHeight w:val="300"/>
        </w:trPr>
        <w:tc>
          <w:tcPr>
            <w:tcW w:w="2020" w:type="dxa"/>
            <w:tcBorders>
              <w:top w:val="nil"/>
              <w:left w:val="nil"/>
              <w:bottom w:val="single" w:sz="4" w:space="0" w:color="auto"/>
              <w:right w:val="nil"/>
            </w:tcBorders>
            <w:shd w:val="clear" w:color="auto" w:fill="auto"/>
            <w:noWrap/>
            <w:vAlign w:val="bottom"/>
            <w:hideMark/>
          </w:tcPr>
          <w:p w:rsidR="00925884" w:rsidRPr="00925884" w:rsidRDefault="00925884" w:rsidP="00925884">
            <w:pPr>
              <w:rPr>
                <w:rFonts w:ascii="Calibri" w:eastAsia="Times New Roman" w:hAnsi="Calibri" w:cs="Times New Roman"/>
                <w:color w:val="000000"/>
              </w:rPr>
            </w:pPr>
            <w:r w:rsidRPr="00925884">
              <w:rPr>
                <w:rFonts w:ascii="Calibri" w:eastAsia="Times New Roman" w:hAnsi="Calibri" w:cs="Times New Roman"/>
                <w:color w:val="000000"/>
              </w:rPr>
              <w:t>Material</w:t>
            </w:r>
          </w:p>
        </w:tc>
        <w:tc>
          <w:tcPr>
            <w:tcW w:w="960" w:type="dxa"/>
            <w:tcBorders>
              <w:top w:val="nil"/>
              <w:left w:val="nil"/>
              <w:bottom w:val="single" w:sz="4" w:space="0" w:color="auto"/>
              <w:right w:val="nil"/>
            </w:tcBorders>
            <w:shd w:val="clear" w:color="auto" w:fill="auto"/>
            <w:noWrap/>
            <w:vAlign w:val="bottom"/>
            <w:hideMark/>
          </w:tcPr>
          <w:p w:rsidR="00925884" w:rsidRPr="00925884" w:rsidRDefault="00925884" w:rsidP="00925884">
            <w:pPr>
              <w:jc w:val="right"/>
              <w:rPr>
                <w:rFonts w:ascii="Calibri" w:eastAsia="Times New Roman" w:hAnsi="Calibri" w:cs="Times New Roman"/>
                <w:color w:val="000000"/>
              </w:rPr>
            </w:pPr>
            <w:r w:rsidRPr="00925884">
              <w:rPr>
                <w:rFonts w:ascii="Calibri" w:eastAsia="Times New Roman" w:hAnsi="Calibri" w:cs="Times New Roman"/>
                <w:color w:val="000000"/>
              </w:rPr>
              <w:t>14</w:t>
            </w:r>
          </w:p>
        </w:tc>
      </w:tr>
      <w:tr w:rsidR="00925884" w:rsidRPr="00925884" w:rsidTr="00925884">
        <w:trPr>
          <w:trHeight w:val="300"/>
        </w:trPr>
        <w:tc>
          <w:tcPr>
            <w:tcW w:w="2020" w:type="dxa"/>
            <w:tcBorders>
              <w:top w:val="nil"/>
              <w:left w:val="nil"/>
              <w:bottom w:val="nil"/>
              <w:right w:val="nil"/>
            </w:tcBorders>
            <w:shd w:val="clear" w:color="auto" w:fill="auto"/>
            <w:noWrap/>
            <w:vAlign w:val="bottom"/>
            <w:hideMark/>
          </w:tcPr>
          <w:p w:rsidR="00925884" w:rsidRPr="00925884" w:rsidRDefault="00925884" w:rsidP="00925884">
            <w:pPr>
              <w:rPr>
                <w:rFonts w:ascii="Calibri" w:eastAsia="Times New Roman" w:hAnsi="Calibri" w:cs="Times New Roman"/>
                <w:color w:val="000000"/>
              </w:rPr>
            </w:pPr>
            <w:r w:rsidRPr="00925884">
              <w:rPr>
                <w:rFonts w:ascii="Calibri" w:eastAsia="Times New Roman" w:hAnsi="Calibri" w:cs="Times New Roman"/>
                <w:color w:val="000000"/>
              </w:rPr>
              <w:t>Total Variable cost</w:t>
            </w:r>
          </w:p>
        </w:tc>
        <w:tc>
          <w:tcPr>
            <w:tcW w:w="960" w:type="dxa"/>
            <w:tcBorders>
              <w:top w:val="nil"/>
              <w:left w:val="nil"/>
              <w:bottom w:val="nil"/>
              <w:right w:val="nil"/>
            </w:tcBorders>
            <w:shd w:val="clear" w:color="auto" w:fill="auto"/>
            <w:noWrap/>
            <w:vAlign w:val="bottom"/>
            <w:hideMark/>
          </w:tcPr>
          <w:p w:rsidR="00925884" w:rsidRPr="00925884" w:rsidRDefault="00925884" w:rsidP="00925884">
            <w:pPr>
              <w:jc w:val="right"/>
              <w:rPr>
                <w:rFonts w:ascii="Calibri" w:eastAsia="Times New Roman" w:hAnsi="Calibri" w:cs="Times New Roman"/>
                <w:color w:val="000000"/>
              </w:rPr>
            </w:pPr>
            <w:r w:rsidRPr="00925884">
              <w:rPr>
                <w:rFonts w:ascii="Calibri" w:eastAsia="Times New Roman" w:hAnsi="Calibri" w:cs="Times New Roman"/>
                <w:color w:val="000000"/>
              </w:rPr>
              <w:t>23</w:t>
            </w:r>
          </w:p>
        </w:tc>
      </w:tr>
      <w:tr w:rsidR="00925884" w:rsidRPr="00925884" w:rsidTr="00925884">
        <w:trPr>
          <w:trHeight w:val="300"/>
        </w:trPr>
        <w:tc>
          <w:tcPr>
            <w:tcW w:w="2020" w:type="dxa"/>
            <w:tcBorders>
              <w:top w:val="nil"/>
              <w:left w:val="nil"/>
              <w:bottom w:val="nil"/>
              <w:right w:val="nil"/>
            </w:tcBorders>
            <w:shd w:val="clear" w:color="auto" w:fill="auto"/>
            <w:noWrap/>
            <w:vAlign w:val="bottom"/>
            <w:hideMark/>
          </w:tcPr>
          <w:p w:rsidR="00925884" w:rsidRPr="00925884" w:rsidRDefault="00925884" w:rsidP="00925884">
            <w:pPr>
              <w:rPr>
                <w:rFonts w:ascii="Calibri" w:eastAsia="Times New Roman" w:hAnsi="Calibri" w:cs="Times New Roman"/>
                <w:color w:val="000000"/>
              </w:rPr>
            </w:pPr>
          </w:p>
        </w:tc>
        <w:tc>
          <w:tcPr>
            <w:tcW w:w="960" w:type="dxa"/>
            <w:tcBorders>
              <w:top w:val="nil"/>
              <w:left w:val="nil"/>
              <w:bottom w:val="nil"/>
              <w:right w:val="nil"/>
            </w:tcBorders>
            <w:shd w:val="clear" w:color="auto" w:fill="auto"/>
            <w:noWrap/>
            <w:vAlign w:val="bottom"/>
            <w:hideMark/>
          </w:tcPr>
          <w:p w:rsidR="00925884" w:rsidRPr="00925884" w:rsidRDefault="00925884" w:rsidP="00925884">
            <w:pPr>
              <w:rPr>
                <w:rFonts w:ascii="Calibri" w:eastAsia="Times New Roman" w:hAnsi="Calibri" w:cs="Times New Roman"/>
                <w:color w:val="000000"/>
              </w:rPr>
            </w:pPr>
          </w:p>
        </w:tc>
      </w:tr>
      <w:tr w:rsidR="00925884" w:rsidRPr="00925884" w:rsidTr="00925884">
        <w:trPr>
          <w:trHeight w:val="300"/>
        </w:trPr>
        <w:tc>
          <w:tcPr>
            <w:tcW w:w="2020" w:type="dxa"/>
            <w:tcBorders>
              <w:top w:val="nil"/>
              <w:left w:val="nil"/>
              <w:bottom w:val="nil"/>
              <w:right w:val="nil"/>
            </w:tcBorders>
            <w:shd w:val="clear" w:color="auto" w:fill="auto"/>
            <w:noWrap/>
            <w:vAlign w:val="bottom"/>
            <w:hideMark/>
          </w:tcPr>
          <w:p w:rsidR="00925884" w:rsidRPr="00925884" w:rsidRDefault="00925884" w:rsidP="00925884">
            <w:pPr>
              <w:rPr>
                <w:rFonts w:ascii="Calibri" w:eastAsia="Times New Roman" w:hAnsi="Calibri" w:cs="Times New Roman"/>
                <w:color w:val="000000"/>
              </w:rPr>
            </w:pPr>
            <w:r w:rsidRPr="00925884">
              <w:rPr>
                <w:rFonts w:ascii="Calibri" w:eastAsia="Times New Roman" w:hAnsi="Calibri" w:cs="Times New Roman"/>
                <w:color w:val="000000"/>
              </w:rPr>
              <w:t>Contribution Margin</w:t>
            </w:r>
          </w:p>
        </w:tc>
        <w:tc>
          <w:tcPr>
            <w:tcW w:w="960" w:type="dxa"/>
            <w:tcBorders>
              <w:top w:val="nil"/>
              <w:left w:val="nil"/>
              <w:bottom w:val="nil"/>
              <w:right w:val="nil"/>
            </w:tcBorders>
            <w:shd w:val="clear" w:color="auto" w:fill="auto"/>
            <w:noWrap/>
            <w:vAlign w:val="bottom"/>
            <w:hideMark/>
          </w:tcPr>
          <w:p w:rsidR="00925884" w:rsidRPr="00925884" w:rsidRDefault="00925884" w:rsidP="00925884">
            <w:pPr>
              <w:jc w:val="right"/>
              <w:rPr>
                <w:rFonts w:ascii="Calibri" w:eastAsia="Times New Roman" w:hAnsi="Calibri" w:cs="Times New Roman"/>
                <w:color w:val="000000"/>
              </w:rPr>
            </w:pPr>
            <w:r w:rsidRPr="00925884">
              <w:rPr>
                <w:rFonts w:ascii="Calibri" w:eastAsia="Times New Roman" w:hAnsi="Calibri" w:cs="Times New Roman"/>
                <w:color w:val="000000"/>
              </w:rPr>
              <w:t>5.75</w:t>
            </w:r>
          </w:p>
        </w:tc>
      </w:tr>
    </w:tbl>
    <w:p w:rsidR="00925884" w:rsidRDefault="00925884" w:rsidP="00B43074"/>
    <w:sectPr w:rsidR="00925884">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7C1" w:rsidRDefault="00C247C1" w:rsidP="00327B55">
      <w:r>
        <w:separator/>
      </w:r>
    </w:p>
  </w:endnote>
  <w:endnote w:type="continuationSeparator" w:id="0">
    <w:p w:rsidR="00C247C1" w:rsidRDefault="00C247C1" w:rsidP="00327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7C1" w:rsidRDefault="00C247C1" w:rsidP="00327B55">
      <w:r>
        <w:separator/>
      </w:r>
    </w:p>
  </w:footnote>
  <w:footnote w:type="continuationSeparator" w:id="0">
    <w:p w:rsidR="00C247C1" w:rsidRDefault="00C247C1" w:rsidP="00327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6713"/>
      <w:gridCol w:w="2877"/>
    </w:tblGrid>
    <w:tr w:rsidR="00327B55">
      <w:tc>
        <w:tcPr>
          <w:tcW w:w="3500" w:type="pct"/>
          <w:tcBorders>
            <w:bottom w:val="single" w:sz="4" w:space="0" w:color="auto"/>
          </w:tcBorders>
          <w:vAlign w:val="bottom"/>
        </w:tcPr>
        <w:p w:rsidR="00327B55" w:rsidRDefault="00327B55" w:rsidP="008740CC">
          <w:pPr>
            <w:pStyle w:val="Header"/>
            <w:jc w:val="right"/>
            <w:rPr>
              <w:noProof/>
              <w:color w:val="76923C" w:themeColor="accent3" w:themeShade="BF"/>
              <w:sz w:val="24"/>
              <w:szCs w:val="24"/>
            </w:rPr>
          </w:pPr>
          <w:r>
            <w:rPr>
              <w:b/>
              <w:bCs/>
              <w:color w:val="76923C" w:themeColor="accent3" w:themeShade="BF"/>
              <w:sz w:val="24"/>
              <w:szCs w:val="24"/>
            </w:rPr>
            <w:t>[</w:t>
          </w:r>
          <w:sdt>
            <w:sdtPr>
              <w:rPr>
                <w:b/>
                <w:bCs/>
                <w:caps/>
                <w:sz w:val="24"/>
                <w:szCs w:val="24"/>
              </w:rPr>
              <w:alias w:val="Title"/>
              <w:id w:val="77677295"/>
              <w:placeholder>
                <w:docPart w:val="AF0AE5F483964C4781C8C0A6D9547C18"/>
              </w:placeholder>
              <w:dataBinding w:prefixMappings="xmlns:ns0='http://schemas.openxmlformats.org/package/2006/metadata/core-properties' xmlns:ns1='http://purl.org/dc/elements/1.1/'" w:xpath="/ns0:coreProperties[1]/ns1:title[1]" w:storeItemID="{6C3C8BC8-F283-45AE-878A-BAB7291924A1}"/>
              <w:text/>
            </w:sdtPr>
            <w:sdtEndPr/>
            <w:sdtContent>
              <w:r w:rsidR="008740CC">
                <w:rPr>
                  <w:b/>
                  <w:bCs/>
                  <w:caps/>
                  <w:sz w:val="24"/>
                  <w:szCs w:val="24"/>
                </w:rPr>
                <w:t>BMA 628: Case 5</w:t>
              </w:r>
              <w:r>
                <w:rPr>
                  <w:b/>
                  <w:bCs/>
                  <w:caps/>
                  <w:sz w:val="24"/>
                  <w:szCs w:val="24"/>
                </w:rPr>
                <w:t xml:space="preserve"> – </w:t>
              </w:r>
              <w:r w:rsidR="008740CC">
                <w:rPr>
                  <w:b/>
                  <w:bCs/>
                  <w:caps/>
                  <w:sz w:val="24"/>
                  <w:szCs w:val="24"/>
                </w:rPr>
                <w:t>Gomez Electronics</w:t>
              </w:r>
            </w:sdtContent>
          </w:sdt>
          <w:r>
            <w:rPr>
              <w:b/>
              <w:bCs/>
              <w:color w:val="76923C" w:themeColor="accent3" w:themeShade="BF"/>
              <w:sz w:val="24"/>
              <w:szCs w:val="24"/>
            </w:rPr>
            <w:t>]</w:t>
          </w:r>
        </w:p>
      </w:tc>
      <w:sdt>
        <w:sdtPr>
          <w:rPr>
            <w:color w:val="FFFFFF" w:themeColor="background1"/>
          </w:rPr>
          <w:alias w:val="Date"/>
          <w:id w:val="77677290"/>
          <w:placeholder>
            <w:docPart w:val="9D06F9E373FB4CC29D1FE340B49E5A6E"/>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tc>
            <w:tcPr>
              <w:tcW w:w="1500" w:type="pct"/>
              <w:tcBorders>
                <w:bottom w:val="single" w:sz="4" w:space="0" w:color="943634" w:themeColor="accent2" w:themeShade="BF"/>
              </w:tcBorders>
              <w:shd w:val="clear" w:color="auto" w:fill="943634" w:themeFill="accent2" w:themeFillShade="BF"/>
              <w:vAlign w:val="bottom"/>
            </w:tcPr>
            <w:p w:rsidR="00327B55" w:rsidRDefault="00327B55" w:rsidP="00327B55">
              <w:pPr>
                <w:pStyle w:val="Header"/>
                <w:rPr>
                  <w:color w:val="FFFFFF" w:themeColor="background1"/>
                </w:rPr>
              </w:pPr>
              <w:r>
                <w:rPr>
                  <w:color w:val="FFFFFF" w:themeColor="background1"/>
                </w:rPr>
                <w:t xml:space="preserve">Simon </w:t>
              </w:r>
              <w:proofErr w:type="spellStart"/>
              <w:r>
                <w:rPr>
                  <w:color w:val="FFFFFF" w:themeColor="background1"/>
                </w:rPr>
                <w:t>Foucher</w:t>
              </w:r>
              <w:proofErr w:type="spellEnd"/>
              <w:r>
                <w:rPr>
                  <w:color w:val="FFFFFF" w:themeColor="background1"/>
                </w:rPr>
                <w:t xml:space="preserve"> 710 7722</w:t>
              </w:r>
            </w:p>
          </w:tc>
        </w:sdtContent>
      </w:sdt>
    </w:tr>
  </w:tbl>
  <w:p w:rsidR="00327B55" w:rsidRDefault="00327B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4436B"/>
    <w:multiLevelType w:val="hybridMultilevel"/>
    <w:tmpl w:val="23027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8126FB"/>
    <w:multiLevelType w:val="hybridMultilevel"/>
    <w:tmpl w:val="34DC5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010E9C"/>
    <w:multiLevelType w:val="hybridMultilevel"/>
    <w:tmpl w:val="3E12B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6770DE"/>
    <w:multiLevelType w:val="hybridMultilevel"/>
    <w:tmpl w:val="8B2CB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FE20BF"/>
    <w:multiLevelType w:val="hybridMultilevel"/>
    <w:tmpl w:val="F2CC3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074"/>
    <w:rsid w:val="00327B55"/>
    <w:rsid w:val="00341CC5"/>
    <w:rsid w:val="0037503C"/>
    <w:rsid w:val="005B61EC"/>
    <w:rsid w:val="007239D1"/>
    <w:rsid w:val="008740CC"/>
    <w:rsid w:val="008C35AC"/>
    <w:rsid w:val="00925884"/>
    <w:rsid w:val="009B767E"/>
    <w:rsid w:val="00A14062"/>
    <w:rsid w:val="00B03D8C"/>
    <w:rsid w:val="00B43074"/>
    <w:rsid w:val="00C14CE9"/>
    <w:rsid w:val="00C247C1"/>
    <w:rsid w:val="00C4349A"/>
    <w:rsid w:val="00C96062"/>
    <w:rsid w:val="00CA2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074"/>
    <w:pPr>
      <w:ind w:left="720"/>
      <w:contextualSpacing/>
    </w:pPr>
  </w:style>
  <w:style w:type="paragraph" w:styleId="BalloonText">
    <w:name w:val="Balloon Text"/>
    <w:basedOn w:val="Normal"/>
    <w:link w:val="BalloonTextChar"/>
    <w:uiPriority w:val="99"/>
    <w:semiHidden/>
    <w:unhideWhenUsed/>
    <w:rsid w:val="008C35AC"/>
    <w:rPr>
      <w:rFonts w:ascii="Tahoma" w:hAnsi="Tahoma" w:cs="Tahoma"/>
      <w:sz w:val="16"/>
      <w:szCs w:val="16"/>
    </w:rPr>
  </w:style>
  <w:style w:type="character" w:customStyle="1" w:styleId="BalloonTextChar">
    <w:name w:val="Balloon Text Char"/>
    <w:basedOn w:val="DefaultParagraphFont"/>
    <w:link w:val="BalloonText"/>
    <w:uiPriority w:val="99"/>
    <w:semiHidden/>
    <w:rsid w:val="008C35AC"/>
    <w:rPr>
      <w:rFonts w:ascii="Tahoma" w:hAnsi="Tahoma" w:cs="Tahoma"/>
      <w:sz w:val="16"/>
      <w:szCs w:val="16"/>
    </w:rPr>
  </w:style>
  <w:style w:type="paragraph" w:styleId="Header">
    <w:name w:val="header"/>
    <w:basedOn w:val="Normal"/>
    <w:link w:val="HeaderChar"/>
    <w:uiPriority w:val="99"/>
    <w:unhideWhenUsed/>
    <w:rsid w:val="00327B55"/>
    <w:pPr>
      <w:tabs>
        <w:tab w:val="center" w:pos="4680"/>
        <w:tab w:val="right" w:pos="9360"/>
      </w:tabs>
    </w:pPr>
  </w:style>
  <w:style w:type="character" w:customStyle="1" w:styleId="HeaderChar">
    <w:name w:val="Header Char"/>
    <w:basedOn w:val="DefaultParagraphFont"/>
    <w:link w:val="Header"/>
    <w:uiPriority w:val="99"/>
    <w:rsid w:val="00327B55"/>
  </w:style>
  <w:style w:type="paragraph" w:styleId="Footer">
    <w:name w:val="footer"/>
    <w:basedOn w:val="Normal"/>
    <w:link w:val="FooterChar"/>
    <w:uiPriority w:val="99"/>
    <w:unhideWhenUsed/>
    <w:rsid w:val="00327B55"/>
    <w:pPr>
      <w:tabs>
        <w:tab w:val="center" w:pos="4680"/>
        <w:tab w:val="right" w:pos="9360"/>
      </w:tabs>
    </w:pPr>
  </w:style>
  <w:style w:type="character" w:customStyle="1" w:styleId="FooterChar">
    <w:name w:val="Footer Char"/>
    <w:basedOn w:val="DefaultParagraphFont"/>
    <w:link w:val="Footer"/>
    <w:uiPriority w:val="99"/>
    <w:rsid w:val="00327B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074"/>
    <w:pPr>
      <w:ind w:left="720"/>
      <w:contextualSpacing/>
    </w:pPr>
  </w:style>
  <w:style w:type="paragraph" w:styleId="BalloonText">
    <w:name w:val="Balloon Text"/>
    <w:basedOn w:val="Normal"/>
    <w:link w:val="BalloonTextChar"/>
    <w:uiPriority w:val="99"/>
    <w:semiHidden/>
    <w:unhideWhenUsed/>
    <w:rsid w:val="008C35AC"/>
    <w:rPr>
      <w:rFonts w:ascii="Tahoma" w:hAnsi="Tahoma" w:cs="Tahoma"/>
      <w:sz w:val="16"/>
      <w:szCs w:val="16"/>
    </w:rPr>
  </w:style>
  <w:style w:type="character" w:customStyle="1" w:styleId="BalloonTextChar">
    <w:name w:val="Balloon Text Char"/>
    <w:basedOn w:val="DefaultParagraphFont"/>
    <w:link w:val="BalloonText"/>
    <w:uiPriority w:val="99"/>
    <w:semiHidden/>
    <w:rsid w:val="008C35AC"/>
    <w:rPr>
      <w:rFonts w:ascii="Tahoma" w:hAnsi="Tahoma" w:cs="Tahoma"/>
      <w:sz w:val="16"/>
      <w:szCs w:val="16"/>
    </w:rPr>
  </w:style>
  <w:style w:type="paragraph" w:styleId="Header">
    <w:name w:val="header"/>
    <w:basedOn w:val="Normal"/>
    <w:link w:val="HeaderChar"/>
    <w:uiPriority w:val="99"/>
    <w:unhideWhenUsed/>
    <w:rsid w:val="00327B55"/>
    <w:pPr>
      <w:tabs>
        <w:tab w:val="center" w:pos="4680"/>
        <w:tab w:val="right" w:pos="9360"/>
      </w:tabs>
    </w:pPr>
  </w:style>
  <w:style w:type="character" w:customStyle="1" w:styleId="HeaderChar">
    <w:name w:val="Header Char"/>
    <w:basedOn w:val="DefaultParagraphFont"/>
    <w:link w:val="Header"/>
    <w:uiPriority w:val="99"/>
    <w:rsid w:val="00327B55"/>
  </w:style>
  <w:style w:type="paragraph" w:styleId="Footer">
    <w:name w:val="footer"/>
    <w:basedOn w:val="Normal"/>
    <w:link w:val="FooterChar"/>
    <w:uiPriority w:val="99"/>
    <w:unhideWhenUsed/>
    <w:rsid w:val="00327B55"/>
    <w:pPr>
      <w:tabs>
        <w:tab w:val="center" w:pos="4680"/>
        <w:tab w:val="right" w:pos="9360"/>
      </w:tabs>
    </w:pPr>
  </w:style>
  <w:style w:type="character" w:customStyle="1" w:styleId="FooterChar">
    <w:name w:val="Footer Char"/>
    <w:basedOn w:val="DefaultParagraphFont"/>
    <w:link w:val="Footer"/>
    <w:uiPriority w:val="99"/>
    <w:rsid w:val="00327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1386">
      <w:bodyDiv w:val="1"/>
      <w:marLeft w:val="0"/>
      <w:marRight w:val="0"/>
      <w:marTop w:val="0"/>
      <w:marBottom w:val="0"/>
      <w:divBdr>
        <w:top w:val="none" w:sz="0" w:space="0" w:color="auto"/>
        <w:left w:val="none" w:sz="0" w:space="0" w:color="auto"/>
        <w:bottom w:val="none" w:sz="0" w:space="0" w:color="auto"/>
        <w:right w:val="none" w:sz="0" w:space="0" w:color="auto"/>
      </w:divBdr>
    </w:div>
    <w:div w:id="177933969">
      <w:bodyDiv w:val="1"/>
      <w:marLeft w:val="0"/>
      <w:marRight w:val="0"/>
      <w:marTop w:val="0"/>
      <w:marBottom w:val="0"/>
      <w:divBdr>
        <w:top w:val="none" w:sz="0" w:space="0" w:color="auto"/>
        <w:left w:val="none" w:sz="0" w:space="0" w:color="auto"/>
        <w:bottom w:val="none" w:sz="0" w:space="0" w:color="auto"/>
        <w:right w:val="none" w:sz="0" w:space="0" w:color="auto"/>
      </w:divBdr>
    </w:div>
    <w:div w:id="316345763">
      <w:bodyDiv w:val="1"/>
      <w:marLeft w:val="0"/>
      <w:marRight w:val="0"/>
      <w:marTop w:val="0"/>
      <w:marBottom w:val="0"/>
      <w:divBdr>
        <w:top w:val="none" w:sz="0" w:space="0" w:color="auto"/>
        <w:left w:val="none" w:sz="0" w:space="0" w:color="auto"/>
        <w:bottom w:val="none" w:sz="0" w:space="0" w:color="auto"/>
        <w:right w:val="none" w:sz="0" w:space="0" w:color="auto"/>
      </w:divBdr>
    </w:div>
    <w:div w:id="334723752">
      <w:bodyDiv w:val="1"/>
      <w:marLeft w:val="0"/>
      <w:marRight w:val="0"/>
      <w:marTop w:val="0"/>
      <w:marBottom w:val="0"/>
      <w:divBdr>
        <w:top w:val="none" w:sz="0" w:space="0" w:color="auto"/>
        <w:left w:val="none" w:sz="0" w:space="0" w:color="auto"/>
        <w:bottom w:val="none" w:sz="0" w:space="0" w:color="auto"/>
        <w:right w:val="none" w:sz="0" w:space="0" w:color="auto"/>
      </w:divBdr>
    </w:div>
    <w:div w:id="660693678">
      <w:bodyDiv w:val="1"/>
      <w:marLeft w:val="0"/>
      <w:marRight w:val="0"/>
      <w:marTop w:val="0"/>
      <w:marBottom w:val="0"/>
      <w:divBdr>
        <w:top w:val="none" w:sz="0" w:space="0" w:color="auto"/>
        <w:left w:val="none" w:sz="0" w:space="0" w:color="auto"/>
        <w:bottom w:val="none" w:sz="0" w:space="0" w:color="auto"/>
        <w:right w:val="none" w:sz="0" w:space="0" w:color="auto"/>
      </w:divBdr>
    </w:div>
    <w:div w:id="684134360">
      <w:bodyDiv w:val="1"/>
      <w:marLeft w:val="0"/>
      <w:marRight w:val="0"/>
      <w:marTop w:val="0"/>
      <w:marBottom w:val="0"/>
      <w:divBdr>
        <w:top w:val="none" w:sz="0" w:space="0" w:color="auto"/>
        <w:left w:val="none" w:sz="0" w:space="0" w:color="auto"/>
        <w:bottom w:val="none" w:sz="0" w:space="0" w:color="auto"/>
        <w:right w:val="none" w:sz="0" w:space="0" w:color="auto"/>
      </w:divBdr>
    </w:div>
    <w:div w:id="973372990">
      <w:bodyDiv w:val="1"/>
      <w:marLeft w:val="0"/>
      <w:marRight w:val="0"/>
      <w:marTop w:val="0"/>
      <w:marBottom w:val="0"/>
      <w:divBdr>
        <w:top w:val="none" w:sz="0" w:space="0" w:color="auto"/>
        <w:left w:val="none" w:sz="0" w:space="0" w:color="auto"/>
        <w:bottom w:val="none" w:sz="0" w:space="0" w:color="auto"/>
        <w:right w:val="none" w:sz="0" w:space="0" w:color="auto"/>
      </w:divBdr>
    </w:div>
    <w:div w:id="995567102">
      <w:bodyDiv w:val="1"/>
      <w:marLeft w:val="0"/>
      <w:marRight w:val="0"/>
      <w:marTop w:val="0"/>
      <w:marBottom w:val="0"/>
      <w:divBdr>
        <w:top w:val="none" w:sz="0" w:space="0" w:color="auto"/>
        <w:left w:val="none" w:sz="0" w:space="0" w:color="auto"/>
        <w:bottom w:val="none" w:sz="0" w:space="0" w:color="auto"/>
        <w:right w:val="none" w:sz="0" w:space="0" w:color="auto"/>
      </w:divBdr>
    </w:div>
    <w:div w:id="1273393948">
      <w:bodyDiv w:val="1"/>
      <w:marLeft w:val="0"/>
      <w:marRight w:val="0"/>
      <w:marTop w:val="0"/>
      <w:marBottom w:val="0"/>
      <w:divBdr>
        <w:top w:val="none" w:sz="0" w:space="0" w:color="auto"/>
        <w:left w:val="none" w:sz="0" w:space="0" w:color="auto"/>
        <w:bottom w:val="none" w:sz="0" w:space="0" w:color="auto"/>
        <w:right w:val="none" w:sz="0" w:space="0" w:color="auto"/>
      </w:divBdr>
    </w:div>
    <w:div w:id="1376193793">
      <w:bodyDiv w:val="1"/>
      <w:marLeft w:val="0"/>
      <w:marRight w:val="0"/>
      <w:marTop w:val="0"/>
      <w:marBottom w:val="0"/>
      <w:divBdr>
        <w:top w:val="none" w:sz="0" w:space="0" w:color="auto"/>
        <w:left w:val="none" w:sz="0" w:space="0" w:color="auto"/>
        <w:bottom w:val="none" w:sz="0" w:space="0" w:color="auto"/>
        <w:right w:val="none" w:sz="0" w:space="0" w:color="auto"/>
      </w:divBdr>
    </w:div>
    <w:div w:id="205379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0AE5F483964C4781C8C0A6D9547C18"/>
        <w:category>
          <w:name w:val="General"/>
          <w:gallery w:val="placeholder"/>
        </w:category>
        <w:types>
          <w:type w:val="bbPlcHdr"/>
        </w:types>
        <w:behaviors>
          <w:behavior w:val="content"/>
        </w:behaviors>
        <w:guid w:val="{3F4870C4-819C-4AB6-B3AD-FB75C46303E7}"/>
      </w:docPartPr>
      <w:docPartBody>
        <w:p w:rsidR="008B7825" w:rsidRDefault="003C5F37" w:rsidP="003C5F37">
          <w:pPr>
            <w:pStyle w:val="AF0AE5F483964C4781C8C0A6D9547C18"/>
          </w:pPr>
          <w:r>
            <w:rPr>
              <w:b/>
              <w:bCs/>
              <w:caps/>
              <w:sz w:val="24"/>
              <w:szCs w:val="24"/>
            </w:rPr>
            <w:t>Type the document title</w:t>
          </w:r>
        </w:p>
      </w:docPartBody>
    </w:docPart>
    <w:docPart>
      <w:docPartPr>
        <w:name w:val="9D06F9E373FB4CC29D1FE340B49E5A6E"/>
        <w:category>
          <w:name w:val="General"/>
          <w:gallery w:val="placeholder"/>
        </w:category>
        <w:types>
          <w:type w:val="bbPlcHdr"/>
        </w:types>
        <w:behaviors>
          <w:behavior w:val="content"/>
        </w:behaviors>
        <w:guid w:val="{BA694BE4-B0D0-4197-AE00-7D98BFE2A822}"/>
      </w:docPartPr>
      <w:docPartBody>
        <w:p w:rsidR="008B7825" w:rsidRDefault="003C5F37" w:rsidP="003C5F37">
          <w:pPr>
            <w:pStyle w:val="9D06F9E373FB4CC29D1FE340B49E5A6E"/>
          </w:pPr>
          <w:r>
            <w:rPr>
              <w:color w:val="FFFFFF" w:themeColor="background1"/>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F37"/>
    <w:rsid w:val="001C40F4"/>
    <w:rsid w:val="003C5F37"/>
    <w:rsid w:val="004E44AE"/>
    <w:rsid w:val="008B7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0AE5F483964C4781C8C0A6D9547C18">
    <w:name w:val="AF0AE5F483964C4781C8C0A6D9547C18"/>
    <w:rsid w:val="003C5F37"/>
  </w:style>
  <w:style w:type="paragraph" w:customStyle="1" w:styleId="9D06F9E373FB4CC29D1FE340B49E5A6E">
    <w:name w:val="9D06F9E373FB4CC29D1FE340B49E5A6E"/>
    <w:rsid w:val="003C5F3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0AE5F483964C4781C8C0A6D9547C18">
    <w:name w:val="AF0AE5F483964C4781C8C0A6D9547C18"/>
    <w:rsid w:val="003C5F37"/>
  </w:style>
  <w:style w:type="paragraph" w:customStyle="1" w:styleId="9D06F9E373FB4CC29D1FE340B49E5A6E">
    <w:name w:val="9D06F9E373FB4CC29D1FE340B49E5A6E"/>
    <w:rsid w:val="003C5F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Simon Foucher 710 7722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BMA 628: Case 4 – We Care Lawn</vt:lpstr>
    </vt:vector>
  </TitlesOfParts>
  <Company/>
  <LinksUpToDate>false</LinksUpToDate>
  <CharactersWithSpaces>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BMA 628: Case 5 – Gomez Electronics</dc:title>
  <dc:creator>Zeben</dc:creator>
  <cp:lastModifiedBy>zeben</cp:lastModifiedBy>
  <cp:revision>4</cp:revision>
  <dcterms:created xsi:type="dcterms:W3CDTF">2014-02-08T22:06:00Z</dcterms:created>
  <dcterms:modified xsi:type="dcterms:W3CDTF">2014-02-08T23:00:00Z</dcterms:modified>
</cp:coreProperties>
</file>