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76" w:rsidRDefault="003727EF" w:rsidP="006A3576">
      <w:pPr>
        <w:pStyle w:val="Heading2"/>
      </w:pPr>
      <w:r>
        <w:t>Problem Statement</w:t>
      </w:r>
    </w:p>
    <w:p w:rsidR="003727EF" w:rsidRDefault="003727EF" w:rsidP="003727EF">
      <w:r>
        <w:t>Determine unit cost per pair of BBs and LLs using:</w:t>
      </w:r>
    </w:p>
    <w:p w:rsidR="003727EF" w:rsidRDefault="003727EF" w:rsidP="006A3576">
      <w:pPr>
        <w:pStyle w:val="ListParagraph"/>
        <w:numPr>
          <w:ilvl w:val="0"/>
          <w:numId w:val="3"/>
        </w:numPr>
      </w:pPr>
      <w:r>
        <w:t>A single rate plant wide overhead cost allocation based on direct labor hours</w:t>
      </w:r>
    </w:p>
    <w:p w:rsidR="003727EF" w:rsidRDefault="006A3576" w:rsidP="006A3576">
      <w:pPr>
        <w:pStyle w:val="ListParagraph"/>
        <w:numPr>
          <w:ilvl w:val="0"/>
          <w:numId w:val="3"/>
        </w:numPr>
      </w:pPr>
      <w:r>
        <w:t>Step-down cost allocation method</w:t>
      </w:r>
      <w:r w:rsidR="003727EF">
        <w:t xml:space="preserve"> </w:t>
      </w:r>
      <w:r>
        <w:t>to trickle Maintenance/Setup OH costs to Cutting and Assembly departments, then to batches using appropriate cost drivers</w:t>
      </w:r>
    </w:p>
    <w:p w:rsidR="00024D43" w:rsidRDefault="00024D43" w:rsidP="006A3576">
      <w:pPr>
        <w:pStyle w:val="ListParagraph"/>
        <w:numPr>
          <w:ilvl w:val="0"/>
          <w:numId w:val="3"/>
        </w:numPr>
      </w:pPr>
      <w:r>
        <w:t>Activity based costing</w:t>
      </w:r>
      <w:r w:rsidR="004421A0">
        <w:t xml:space="preserve"> (ABC)</w:t>
      </w:r>
    </w:p>
    <w:p w:rsidR="006A3576" w:rsidRDefault="006A3576" w:rsidP="006A3576">
      <w:pPr>
        <w:pStyle w:val="Heading2"/>
      </w:pPr>
      <w:r>
        <w:t>Quantitative Analysis</w:t>
      </w:r>
    </w:p>
    <w:p w:rsidR="006A3576" w:rsidRPr="00211879" w:rsidRDefault="00D81CEE" w:rsidP="00707D48">
      <w:pPr>
        <w:pStyle w:val="ListParagraph"/>
        <w:numPr>
          <w:ilvl w:val="0"/>
          <w:numId w:val="9"/>
        </w:numPr>
        <w:rPr>
          <w:rStyle w:val="Emphasis"/>
        </w:rPr>
      </w:pPr>
      <w:r w:rsidRPr="00211879">
        <w:rPr>
          <w:rStyle w:val="Emphasis"/>
        </w:rPr>
        <w:t>Single rate method</w:t>
      </w:r>
    </w:p>
    <w:p w:rsidR="006A3576" w:rsidRDefault="006A3576" w:rsidP="006A3576">
      <w:pPr>
        <w:pStyle w:val="ListParagraph"/>
        <w:numPr>
          <w:ilvl w:val="0"/>
          <w:numId w:val="6"/>
        </w:numPr>
      </w:pPr>
      <w:r>
        <w:t>As seen on Table 1, the single plant wide OH cost per DLH is 24.49$</w:t>
      </w:r>
      <w:r w:rsidR="00024D43">
        <w:t>. A</w:t>
      </w:r>
      <w:r>
        <w:t xml:space="preserve">s seen on Table 2, allocating this costs to products </w:t>
      </w:r>
      <w:r w:rsidR="004421A0">
        <w:t xml:space="preserve">using DLH as input </w:t>
      </w:r>
      <w:r>
        <w:t xml:space="preserve">yields unit costs </w:t>
      </w:r>
      <w:r w:rsidR="004421A0">
        <w:t xml:space="preserve">of $18.40 and $8.09 </w:t>
      </w:r>
      <w:r>
        <w:t>for BBs and LLs respectively</w:t>
      </w:r>
    </w:p>
    <w:p w:rsidR="006A3576" w:rsidRDefault="006A3576" w:rsidP="006A3576"/>
    <w:p w:rsidR="00D81CEE" w:rsidRPr="00211879" w:rsidRDefault="006A3576" w:rsidP="00707D48">
      <w:pPr>
        <w:pStyle w:val="ListParagraph"/>
        <w:numPr>
          <w:ilvl w:val="0"/>
          <w:numId w:val="9"/>
        </w:numPr>
        <w:rPr>
          <w:rStyle w:val="Emphasis"/>
        </w:rPr>
      </w:pPr>
      <w:r w:rsidRPr="00211879">
        <w:rPr>
          <w:rStyle w:val="Emphasis"/>
        </w:rPr>
        <w:t>Step Down Cost Allocation</w:t>
      </w:r>
    </w:p>
    <w:p w:rsidR="00D81CEE" w:rsidRDefault="00D81CEE" w:rsidP="006A3576">
      <w:r>
        <w:t>As outlined in Table 3:</w:t>
      </w:r>
    </w:p>
    <w:p w:rsidR="006A3576" w:rsidRDefault="006A3576" w:rsidP="006A3576">
      <w:pPr>
        <w:pStyle w:val="ListParagraph"/>
        <w:numPr>
          <w:ilvl w:val="0"/>
          <w:numId w:val="7"/>
        </w:numPr>
      </w:pPr>
      <w:r>
        <w:t xml:space="preserve">Using Machine hours as cost drivers, 56% and 44% of Maintenance OH, for </w:t>
      </w:r>
      <w:r w:rsidR="00D5021B">
        <w:t>a total</w:t>
      </w:r>
      <w:r>
        <w:t xml:space="preserve"> of $90,040 and $69,960 </w:t>
      </w:r>
      <w:r w:rsidR="00D5021B">
        <w:t>can be allocated to Cutting and Assembly</w:t>
      </w:r>
      <w:r w:rsidR="00D5021B">
        <w:t xml:space="preserve"> </w:t>
      </w:r>
      <w:r>
        <w:t>respectively</w:t>
      </w:r>
    </w:p>
    <w:p w:rsidR="006A3576" w:rsidRDefault="006A3576" w:rsidP="006A3576">
      <w:pPr>
        <w:pStyle w:val="ListParagraph"/>
        <w:numPr>
          <w:ilvl w:val="0"/>
          <w:numId w:val="7"/>
        </w:numPr>
      </w:pPr>
      <w:r>
        <w:t xml:space="preserve">Using Setup Hours as cost drivers, 65% and 35% of Setup OH costs can be allocated to Cutting and Assembly, for a total Setup overhead cost of $261,538 and $138,462 </w:t>
      </w:r>
      <w:r w:rsidR="00D5021B">
        <w:t xml:space="preserve">for </w:t>
      </w:r>
      <w:r w:rsidR="00D5021B">
        <w:t>Cutting and Assembly</w:t>
      </w:r>
      <w:r w:rsidR="00D5021B">
        <w:t xml:space="preserve"> </w:t>
      </w:r>
    </w:p>
    <w:p w:rsidR="006A3576" w:rsidRDefault="006A3576" w:rsidP="006A3576">
      <w:pPr>
        <w:pStyle w:val="ListParagraph"/>
        <w:numPr>
          <w:ilvl w:val="0"/>
          <w:numId w:val="7"/>
        </w:numPr>
      </w:pPr>
      <w:r>
        <w:t xml:space="preserve">Adding both the above and the ‘native’ department costs </w:t>
      </w:r>
      <w:r w:rsidR="00D81CEE">
        <w:t>of</w:t>
      </w:r>
      <w:r>
        <w:t xml:space="preserve"> $440k and $200k, total departments costs </w:t>
      </w:r>
      <w:r w:rsidR="00D81CEE">
        <w:t>add up to $791,579 and $408,421</w:t>
      </w:r>
      <w:r w:rsidR="00D81CEE" w:rsidRPr="00D81CEE">
        <w:t xml:space="preserve"> </w:t>
      </w:r>
      <w:r w:rsidR="00D81CEE">
        <w:t>for Cutting and Assembly respectively</w:t>
      </w:r>
    </w:p>
    <w:p w:rsidR="00D81CEE" w:rsidRDefault="00D81CEE" w:rsidP="006A3576">
      <w:pPr>
        <w:pStyle w:val="ListParagraph"/>
        <w:numPr>
          <w:ilvl w:val="0"/>
          <w:numId w:val="7"/>
        </w:numPr>
      </w:pPr>
      <w:r>
        <w:t>Using machine hours as a cost driver for Cutting department and Direct Labor Hours (DLH) as a cost driver for Assembly, overhead cost allocation for Cutting can be established at $28.47/Machine Hour, and for Assembly at $14.80/DLH (this includes setup and maintenance OHs</w:t>
      </w:r>
      <w:r w:rsidR="00D5021B">
        <w:t xml:space="preserve"> already</w:t>
      </w:r>
      <w:r>
        <w:t>)</w:t>
      </w:r>
    </w:p>
    <w:p w:rsidR="00D81CEE" w:rsidRDefault="00D81CEE"/>
    <w:p w:rsidR="00D81CEE" w:rsidRDefault="00D81CEE" w:rsidP="00024D43">
      <w:r>
        <w:t>As outlined in Table 4:</w:t>
      </w:r>
      <w:r w:rsidR="00024D43">
        <w:t xml:space="preserve"> </w:t>
      </w:r>
      <w:r>
        <w:t>Total cost for a batch of BBs can be established at $24,432, yielding a unit cost of $24.43 per pair of BBs</w:t>
      </w:r>
      <w:r w:rsidR="00024D43">
        <w:t>, and t</w:t>
      </w:r>
      <w:r>
        <w:t>otal cost for a batch of LLs can be established at $28,771, yielding a unit cost of $24.43 per pair of LLs</w:t>
      </w:r>
    </w:p>
    <w:p w:rsidR="00D81CEE" w:rsidRDefault="00D81CEE" w:rsidP="00024D43"/>
    <w:p w:rsidR="00707D48" w:rsidRPr="00211879" w:rsidRDefault="00707D48" w:rsidP="00707D48">
      <w:pPr>
        <w:pStyle w:val="ListParagraph"/>
        <w:numPr>
          <w:ilvl w:val="0"/>
          <w:numId w:val="9"/>
        </w:numPr>
        <w:rPr>
          <w:rStyle w:val="Emphasis"/>
        </w:rPr>
      </w:pPr>
      <w:r w:rsidRPr="00211879">
        <w:rPr>
          <w:rStyle w:val="Emphasis"/>
        </w:rPr>
        <w:t>Activity Base Cost Allocation</w:t>
      </w:r>
    </w:p>
    <w:p w:rsidR="00707D48" w:rsidRDefault="00707D48" w:rsidP="00707D48">
      <w:pPr>
        <w:pStyle w:val="ListParagraph"/>
        <w:numPr>
          <w:ilvl w:val="0"/>
          <w:numId w:val="10"/>
        </w:numPr>
      </w:pPr>
      <w:r>
        <w:t>Table 5 Outlines OH costs per OH activity type. Adding costs per cost drivers yields total OH costs of $7.29/Machine Hour, $1,307.69/Setup Hour and $3.27 per DLH (as seen on table 6)</w:t>
      </w:r>
    </w:p>
    <w:p w:rsidR="00707D48" w:rsidRDefault="00707D48" w:rsidP="00707D48">
      <w:pPr>
        <w:pStyle w:val="ListParagraph"/>
        <w:numPr>
          <w:ilvl w:val="0"/>
          <w:numId w:val="10"/>
        </w:numPr>
      </w:pPr>
      <w:r>
        <w:t>Scaling the hourly OH cost per number of cost driver unit used per batch, we arrive at $21.42 per pair of BBs produced, and $7.29 per pair of LL Produced</w:t>
      </w:r>
      <w:r w:rsidR="00D5021B">
        <w:t xml:space="preserve"> (As seen on table 7)</w:t>
      </w:r>
    </w:p>
    <w:p w:rsidR="00D81CEE" w:rsidRDefault="007924E1" w:rsidP="004066D8">
      <w:pPr>
        <w:pStyle w:val="Heading2"/>
      </w:pPr>
      <w:r>
        <w:t>Conclusion</w:t>
      </w:r>
    </w:p>
    <w:p w:rsidR="004066D8" w:rsidRDefault="004066D8" w:rsidP="004066D8">
      <w:pPr>
        <w:pStyle w:val="ListParagraph"/>
        <w:numPr>
          <w:ilvl w:val="0"/>
          <w:numId w:val="11"/>
        </w:numPr>
      </w:pPr>
      <w:r>
        <w:t xml:space="preserve">Single rate plant wide overhead cost allocation is simple to implement, but in completely oblivious to many </w:t>
      </w:r>
      <w:r w:rsidR="007924E1">
        <w:t>realities of overhead cost allocation</w:t>
      </w:r>
      <w:r>
        <w:t>, like cost to setup</w:t>
      </w:r>
      <w:r w:rsidR="007924E1">
        <w:t xml:space="preserve"> batches</w:t>
      </w:r>
      <w:r>
        <w:t xml:space="preserve"> and machine usage.</w:t>
      </w:r>
    </w:p>
    <w:p w:rsidR="006A3576" w:rsidRDefault="004066D8" w:rsidP="004066D8">
      <w:pPr>
        <w:pStyle w:val="ListParagraph"/>
        <w:numPr>
          <w:ilvl w:val="0"/>
          <w:numId w:val="11"/>
        </w:numPr>
      </w:pPr>
      <w:r>
        <w:t xml:space="preserve">If the company prices it’s units based on computed manufacturing costs, using a single plant wide rate yields lower cost than the ABC method for BBs ($18.40 instead of $21.42) and higher cost than the ABC method for LLs ($8.29 instead of $7.29). The company is most likely gaining market share on BBs because its margins are in actually smaller, whereas it is losing market shares on LLs because of unnecessarily inflated margins. </w:t>
      </w:r>
      <w:r w:rsidR="007924E1">
        <w:t xml:space="preserve">Selling more of less profitable items and less of more profitable items is not ideal </w:t>
      </w:r>
    </w:p>
    <w:p w:rsidR="006706B9" w:rsidRDefault="006706B9" w:rsidP="004066D8">
      <w:pPr>
        <w:pStyle w:val="ListParagraph"/>
        <w:numPr>
          <w:ilvl w:val="0"/>
          <w:numId w:val="11"/>
        </w:numPr>
      </w:pPr>
      <w:r>
        <w:t>Although ABC is more complex to maintain than the current costing system, the company should still consider it as a costing method to avoid losing market share on overpriced items and loosing profits on underpriced items</w:t>
      </w:r>
    </w:p>
    <w:p w:rsidR="006706B9" w:rsidRDefault="006706B9" w:rsidP="004066D8">
      <w:pPr>
        <w:pStyle w:val="ListParagraph"/>
        <w:numPr>
          <w:ilvl w:val="0"/>
          <w:numId w:val="11"/>
        </w:numPr>
      </w:pPr>
      <w:r>
        <w:t>Data collection revealed that DLH as a cost driver only accounts for 13% of total overheads costs, whereas setup hours accounts for 57% of overheads. If implementing ABC is not a feasible alternative, the company should consider using setup hours as a single cost driver instead of DLH. Results would still be diluted</w:t>
      </w:r>
      <w:r w:rsidR="007924E1">
        <w:t xml:space="preserve"> and </w:t>
      </w:r>
      <w:proofErr w:type="spellStart"/>
      <w:r w:rsidR="007924E1">
        <w:t>inacurate</w:t>
      </w:r>
      <w:proofErr w:type="spellEnd"/>
      <w:r>
        <w:t>, but would be more reflective of reality because of the larger weight of Setup hours.</w:t>
      </w:r>
    </w:p>
    <w:p w:rsidR="004066D8" w:rsidRDefault="007924E1" w:rsidP="007924E1">
      <w:pPr>
        <w:pStyle w:val="Heading2"/>
      </w:pPr>
      <w:r>
        <w:lastRenderedPageBreak/>
        <w:t>Exhibits</w:t>
      </w:r>
    </w:p>
    <w:p w:rsidR="004066D8" w:rsidRDefault="004066D8">
      <w:bookmarkStart w:id="0" w:name="_GoBack"/>
      <w:bookmarkEnd w:id="0"/>
    </w:p>
    <w:p w:rsidR="004066D8" w:rsidRDefault="004066D8"/>
    <w:tbl>
      <w:tblPr>
        <w:tblW w:w="3620" w:type="dxa"/>
        <w:tblInd w:w="93" w:type="dxa"/>
        <w:tblLook w:val="04A0" w:firstRow="1" w:lastRow="0" w:firstColumn="1" w:lastColumn="0" w:noHBand="0" w:noVBand="1"/>
      </w:tblPr>
      <w:tblGrid>
        <w:gridCol w:w="2380"/>
        <w:gridCol w:w="1240"/>
      </w:tblGrid>
      <w:tr w:rsidR="000F6FD5" w:rsidRPr="000F6FD5" w:rsidTr="000F6FD5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5" w:rsidRPr="000F6FD5" w:rsidRDefault="000F6FD5" w:rsidP="000F6FD5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0F6FD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Total MFG OH ($)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5" w:rsidRPr="000F6FD5" w:rsidRDefault="000F6FD5" w:rsidP="000F6FD5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0F6FD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$1,200,000</w:t>
            </w:r>
          </w:p>
        </w:tc>
      </w:tr>
      <w:tr w:rsidR="000F6FD5" w:rsidRPr="000F6FD5" w:rsidTr="000F6FD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5" w:rsidRPr="000F6FD5" w:rsidRDefault="000F6FD5" w:rsidP="000F6FD5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0F6FD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Total Direct Labor (H)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5" w:rsidRPr="000F6FD5" w:rsidRDefault="000F6FD5" w:rsidP="000F6FD5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0F6FD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49,000</w:t>
            </w:r>
          </w:p>
        </w:tc>
      </w:tr>
      <w:tr w:rsidR="000F6FD5" w:rsidRPr="000F6FD5" w:rsidTr="000F6FD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5" w:rsidRPr="000F6FD5" w:rsidRDefault="000F6FD5" w:rsidP="000F6FD5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0F6FD5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MFG OH $/LDH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5" w:rsidRPr="000F6FD5" w:rsidRDefault="000F6FD5" w:rsidP="000F6FD5">
            <w:pPr>
              <w:jc w:val="right"/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0F6FD5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$24.49</w:t>
            </w:r>
          </w:p>
        </w:tc>
      </w:tr>
    </w:tbl>
    <w:p w:rsidR="009B767E" w:rsidRDefault="00C11B95" w:rsidP="00C11B95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706B9">
        <w:rPr>
          <w:noProof/>
        </w:rPr>
        <w:t>1</w:t>
      </w:r>
      <w:r>
        <w:fldChar w:fldCharType="end"/>
      </w:r>
      <w:r>
        <w:t>: Single plant wide overhead rate based on Direct Labor Hours</w:t>
      </w:r>
    </w:p>
    <w:p w:rsidR="00C11B95" w:rsidRDefault="00C11B95" w:rsidP="00C11B95"/>
    <w:p w:rsidR="007924E1" w:rsidRDefault="007924E1" w:rsidP="00C11B95"/>
    <w:p w:rsidR="00C11B95" w:rsidRDefault="00C11B95" w:rsidP="00C11B95"/>
    <w:tbl>
      <w:tblPr>
        <w:tblW w:w="4320" w:type="dxa"/>
        <w:tblInd w:w="93" w:type="dxa"/>
        <w:tblLook w:val="04A0" w:firstRow="1" w:lastRow="0" w:firstColumn="1" w:lastColumn="0" w:noHBand="0" w:noVBand="1"/>
      </w:tblPr>
      <w:tblGrid>
        <w:gridCol w:w="1960"/>
        <w:gridCol w:w="1219"/>
        <w:gridCol w:w="1219"/>
      </w:tblGrid>
      <w:tr w:rsidR="00C11B95" w:rsidRPr="00C11B95" w:rsidTr="00C11B9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LL</w:t>
            </w:r>
          </w:p>
        </w:tc>
      </w:tr>
      <w:tr w:rsidR="00C11B95" w:rsidRPr="00C11B95" w:rsidTr="00C11B95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Total Labor Hours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330</w:t>
            </w:r>
          </w:p>
        </w:tc>
      </w:tr>
      <w:tr w:rsidR="00C11B95" w:rsidRPr="00C11B95" w:rsidTr="00C11B95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OH Cost ($24.49/H)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$4,898.00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$8,081.70</w:t>
            </w:r>
          </w:p>
        </w:tc>
      </w:tr>
      <w:tr w:rsidR="00C11B95" w:rsidRPr="00C11B95" w:rsidTr="00C11B95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Direct Cost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$13,500.00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$16,200.00</w:t>
            </w:r>
          </w:p>
        </w:tc>
      </w:tr>
      <w:tr w:rsidR="00C11B95" w:rsidRPr="00C11B95" w:rsidTr="00C11B95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Total Cost / Batch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$18,398.00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$24,281.70</w:t>
            </w:r>
          </w:p>
        </w:tc>
      </w:tr>
      <w:tr w:rsidR="00C11B95" w:rsidRPr="00C11B95" w:rsidTr="00C11B95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</w:tr>
      <w:tr w:rsidR="00C11B95" w:rsidRPr="00C11B95" w:rsidTr="00C11B95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Batch Size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3000</w:t>
            </w:r>
          </w:p>
        </w:tc>
      </w:tr>
      <w:tr w:rsidR="00C11B95" w:rsidRPr="00C11B95" w:rsidTr="00C11B95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Cost per Unit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jc w:val="right"/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$18.40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95" w:rsidRPr="00C11B95" w:rsidRDefault="00C11B95" w:rsidP="00C11B95">
            <w:pPr>
              <w:jc w:val="right"/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C11B95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$8.09</w:t>
            </w:r>
          </w:p>
        </w:tc>
      </w:tr>
    </w:tbl>
    <w:p w:rsidR="000F6FD5" w:rsidRDefault="000F6FD5" w:rsidP="000F6FD5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706B9">
        <w:rPr>
          <w:noProof/>
        </w:rPr>
        <w:t>2</w:t>
      </w:r>
      <w:r>
        <w:fldChar w:fldCharType="end"/>
      </w:r>
      <w:r>
        <w:t>: Cost per unit, with all manufacturing overhead allocated on a $ per labor hour method</w:t>
      </w:r>
    </w:p>
    <w:p w:rsidR="007924E1" w:rsidRDefault="007924E1" w:rsidP="007924E1"/>
    <w:p w:rsidR="007924E1" w:rsidRDefault="007924E1" w:rsidP="007924E1"/>
    <w:p w:rsidR="007924E1" w:rsidRPr="007924E1" w:rsidRDefault="007924E1" w:rsidP="007924E1"/>
    <w:p w:rsidR="00D5021B" w:rsidRDefault="00D5021B" w:rsidP="006A3576">
      <w:pPr>
        <w:pStyle w:val="Caption"/>
      </w:pPr>
    </w:p>
    <w:p w:rsidR="00D5021B" w:rsidRDefault="00D5021B" w:rsidP="006A3576">
      <w:pPr>
        <w:pStyle w:val="Caption"/>
      </w:pPr>
      <w:r w:rsidRPr="00D5021B">
        <w:drawing>
          <wp:inline distT="0" distB="0" distL="0" distR="0">
            <wp:extent cx="4364355" cy="2352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B2D" w:rsidRDefault="006A3576" w:rsidP="006A3576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706B9">
        <w:rPr>
          <w:noProof/>
        </w:rPr>
        <w:t>3</w:t>
      </w:r>
      <w:r>
        <w:fldChar w:fldCharType="end"/>
      </w:r>
      <w:r>
        <w:t>: Step down cost allocation step 1: allocating Maintenance and Setup overheads to Cutting and Assembly departments</w:t>
      </w:r>
    </w:p>
    <w:p w:rsidR="00D5021B" w:rsidRDefault="00D5021B" w:rsidP="00D5021B"/>
    <w:p w:rsidR="00D5021B" w:rsidRDefault="00D5021B" w:rsidP="00D81CEE">
      <w:pPr>
        <w:pStyle w:val="Caption"/>
      </w:pPr>
      <w:r w:rsidRPr="00D5021B">
        <w:lastRenderedPageBreak/>
        <w:drawing>
          <wp:inline distT="0" distB="0" distL="0" distR="0">
            <wp:extent cx="3067685" cy="21532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21B">
        <w:t xml:space="preserve"> </w:t>
      </w:r>
    </w:p>
    <w:p w:rsidR="00D81CEE" w:rsidRDefault="00D81CEE" w:rsidP="00D81CEE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706B9">
        <w:rPr>
          <w:noProof/>
        </w:rPr>
        <w:t>4</w:t>
      </w:r>
      <w:r>
        <w:fldChar w:fldCharType="end"/>
      </w:r>
      <w:r>
        <w:t>: Cost per batch and units of BBs and LLs, including overhead cost allocations</w:t>
      </w:r>
    </w:p>
    <w:p w:rsidR="00894B80" w:rsidRDefault="00894B80" w:rsidP="00894B80"/>
    <w:p w:rsidR="007924E1" w:rsidRDefault="007924E1" w:rsidP="00894B80"/>
    <w:p w:rsidR="007924E1" w:rsidRDefault="007924E1" w:rsidP="00894B80"/>
    <w:p w:rsidR="00894B80" w:rsidRDefault="00894B80" w:rsidP="00894B80"/>
    <w:tbl>
      <w:tblPr>
        <w:tblW w:w="9737" w:type="dxa"/>
        <w:tblInd w:w="93" w:type="dxa"/>
        <w:tblLook w:val="04A0" w:firstRow="1" w:lastRow="0" w:firstColumn="1" w:lastColumn="0" w:noHBand="0" w:noVBand="1"/>
      </w:tblPr>
      <w:tblGrid>
        <w:gridCol w:w="2300"/>
        <w:gridCol w:w="1497"/>
        <w:gridCol w:w="1618"/>
        <w:gridCol w:w="1362"/>
        <w:gridCol w:w="1600"/>
        <w:gridCol w:w="1360"/>
      </w:tblGrid>
      <w:tr w:rsidR="00894B80" w:rsidRPr="00894B80" w:rsidTr="00894B80">
        <w:trPr>
          <w:trHeight w:val="6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OH Activity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Cost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Cost Driver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 xml:space="preserve">Plant Wide driver </w:t>
            </w:r>
            <w:proofErr w:type="spellStart"/>
            <w:r w:rsidRPr="00894B80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Activity OH $/H</w:t>
            </w:r>
          </w:p>
        </w:tc>
      </w:tr>
      <w:tr w:rsidR="00894B80" w:rsidRPr="00894B80" w:rsidTr="00894B8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$160,000.00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Product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Machine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49400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$3.24</w:t>
            </w:r>
          </w:p>
        </w:tc>
      </w:tr>
      <w:tr w:rsidR="00894B80" w:rsidRPr="00894B80" w:rsidTr="00894B8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Setup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$400,000.00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Batch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Setup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$769.23</w:t>
            </w:r>
          </w:p>
        </w:tc>
      </w:tr>
      <w:tr w:rsidR="00894B80" w:rsidRPr="00894B80" w:rsidTr="00894B8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Cutting Supervision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$280,000.00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Batch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Setup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$538.46</w:t>
            </w:r>
          </w:p>
        </w:tc>
      </w:tr>
      <w:tr w:rsidR="00894B80" w:rsidRPr="00894B80" w:rsidTr="00894B8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Cutting Depreciation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$160,000.00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Facility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Machine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49400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$3.24</w:t>
            </w:r>
          </w:p>
        </w:tc>
      </w:tr>
      <w:tr w:rsidR="00894B80" w:rsidRPr="00894B80" w:rsidTr="00894B8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Assembly Supervision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$160,000.00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DLH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49000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$3.27</w:t>
            </w:r>
          </w:p>
        </w:tc>
      </w:tr>
      <w:tr w:rsidR="00894B80" w:rsidRPr="00894B80" w:rsidTr="00894B8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Assembly Depreciation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$40,000.00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Facility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Machine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49400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$0.81</w:t>
            </w:r>
          </w:p>
        </w:tc>
      </w:tr>
      <w:tr w:rsidR="00894B80" w:rsidRPr="00894B80" w:rsidTr="00894B8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$1,200,000.00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</w:tr>
    </w:tbl>
    <w:p w:rsidR="00894B80" w:rsidRDefault="00894B80" w:rsidP="00894B80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706B9">
        <w:rPr>
          <w:noProof/>
        </w:rPr>
        <w:t>5</w:t>
      </w:r>
      <w:r>
        <w:fldChar w:fldCharType="end"/>
      </w:r>
      <w:r>
        <w:t>: ABC – OH Cost allocation per OH Activity</w:t>
      </w:r>
    </w:p>
    <w:p w:rsidR="00894B80" w:rsidRDefault="00894B80" w:rsidP="00894B80"/>
    <w:p w:rsidR="007924E1" w:rsidRDefault="007924E1" w:rsidP="00894B80"/>
    <w:p w:rsidR="007924E1" w:rsidRDefault="007924E1" w:rsidP="00894B80"/>
    <w:p w:rsidR="007924E1" w:rsidRDefault="007924E1" w:rsidP="00894B80"/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266"/>
        <w:gridCol w:w="1736"/>
        <w:gridCol w:w="953"/>
        <w:gridCol w:w="222"/>
        <w:gridCol w:w="222"/>
        <w:gridCol w:w="1656"/>
        <w:gridCol w:w="1235"/>
        <w:gridCol w:w="222"/>
        <w:gridCol w:w="222"/>
        <w:gridCol w:w="1796"/>
        <w:gridCol w:w="953"/>
      </w:tblGrid>
      <w:tr w:rsidR="00894B80" w:rsidRPr="00894B80" w:rsidTr="00894B80">
        <w:trPr>
          <w:trHeight w:val="300"/>
        </w:trPr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Machine H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Setup H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DLH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</w:p>
        </w:tc>
      </w:tr>
      <w:tr w:rsidR="00894B80" w:rsidRPr="00894B80" w:rsidTr="00894B80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$3.24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Setup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$769.23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Assembly Sup.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$3.27</w:t>
            </w:r>
          </w:p>
        </w:tc>
      </w:tr>
      <w:tr w:rsidR="00894B80" w:rsidRPr="00894B80" w:rsidTr="00894B80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Cutting Dep.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$3.24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Cutting Sup.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$538.46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</w:tr>
      <w:tr w:rsidR="00894B80" w:rsidRPr="00894B80" w:rsidTr="00894B80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 xml:space="preserve">Assembly </w:t>
            </w:r>
            <w:proofErr w:type="spellStart"/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Dep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$0.81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 </w:t>
            </w:r>
          </w:p>
        </w:tc>
      </w:tr>
      <w:tr w:rsidR="00894B80" w:rsidRPr="00894B80" w:rsidTr="00894B80">
        <w:trPr>
          <w:trHeight w:val="315"/>
        </w:trPr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Total / MH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$7.29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Total / Set. H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$1,307.69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Total / DLH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80" w:rsidRPr="00894B80" w:rsidRDefault="00894B80" w:rsidP="00894B80">
            <w:pPr>
              <w:jc w:val="right"/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894B80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$3.27</w:t>
            </w:r>
          </w:p>
        </w:tc>
      </w:tr>
    </w:tbl>
    <w:p w:rsidR="00894B80" w:rsidRDefault="00894B80" w:rsidP="00894B80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706B9">
        <w:rPr>
          <w:noProof/>
        </w:rPr>
        <w:t>6</w:t>
      </w:r>
      <w:r>
        <w:fldChar w:fldCharType="end"/>
      </w:r>
      <w:r>
        <w:t>: Total hourly OH cost per type of cost driver</w:t>
      </w:r>
    </w:p>
    <w:p w:rsidR="00D5021B" w:rsidRDefault="00D5021B" w:rsidP="00707D48">
      <w:pPr>
        <w:pStyle w:val="Caption"/>
      </w:pPr>
    </w:p>
    <w:p w:rsidR="00D5021B" w:rsidRDefault="00D5021B" w:rsidP="00707D48">
      <w:pPr>
        <w:pStyle w:val="Caption"/>
      </w:pPr>
      <w:r w:rsidRPr="00D5021B">
        <w:lastRenderedPageBreak/>
        <w:drawing>
          <wp:inline distT="0" distB="0" distL="0" distR="0">
            <wp:extent cx="4896485" cy="28594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B80" w:rsidRDefault="00707D48" w:rsidP="00707D48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706B9">
        <w:rPr>
          <w:noProof/>
        </w:rPr>
        <w:t>7</w:t>
      </w:r>
      <w:r>
        <w:fldChar w:fldCharType="end"/>
      </w:r>
      <w:r>
        <w:t>: ABC Cost allocation per activity, associated per batch and per unit of BBs and LLs</w:t>
      </w:r>
    </w:p>
    <w:p w:rsidR="00707D48" w:rsidRDefault="00707D48" w:rsidP="00707D48"/>
    <w:p w:rsidR="007924E1" w:rsidRDefault="007924E1" w:rsidP="00707D48"/>
    <w:p w:rsidR="007924E1" w:rsidRDefault="007924E1" w:rsidP="00707D48"/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280"/>
        <w:gridCol w:w="1280"/>
        <w:gridCol w:w="1280"/>
        <w:gridCol w:w="1280"/>
        <w:gridCol w:w="1280"/>
      </w:tblGrid>
      <w:tr w:rsidR="00707D48" w:rsidRPr="00707D48" w:rsidTr="00707D4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jc w:val="center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Per Unit of BBs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jc w:val="center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Per Unit of LLs</w:t>
            </w:r>
          </w:p>
        </w:tc>
      </w:tr>
      <w:tr w:rsidR="00707D48" w:rsidRPr="00707D48" w:rsidTr="00707D48">
        <w:trPr>
          <w:trHeight w:val="6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D48" w:rsidRPr="00707D48" w:rsidRDefault="00707D48" w:rsidP="00707D48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D48" w:rsidRPr="00707D48" w:rsidRDefault="00707D48" w:rsidP="00707D48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Plant Wide Single cost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D48" w:rsidRPr="00707D48" w:rsidRDefault="00707D48" w:rsidP="00707D48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Step Down Allocation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7D48" w:rsidRPr="00707D48" w:rsidRDefault="00707D48" w:rsidP="00707D48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ABC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D48" w:rsidRPr="00707D48" w:rsidRDefault="00707D48" w:rsidP="00707D48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Plant Wide Single cost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D48" w:rsidRPr="00707D48" w:rsidRDefault="00707D48" w:rsidP="00707D48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Step Down Allocation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7D48" w:rsidRPr="00707D48" w:rsidRDefault="00707D48" w:rsidP="00707D48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ABC</w:t>
            </w:r>
          </w:p>
        </w:tc>
      </w:tr>
      <w:tr w:rsidR="00707D48" w:rsidRPr="00707D48" w:rsidTr="00707D48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Direct Cost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jc w:val="center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$13.50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jc w:val="center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$5.40</w:t>
            </w:r>
          </w:p>
        </w:tc>
      </w:tr>
      <w:tr w:rsidR="00707D48" w:rsidRPr="00707D48" w:rsidTr="00707D48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OH Cost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$4.90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$10.93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$7.92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$2.69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$4.19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$1.89</w:t>
            </w:r>
          </w:p>
        </w:tc>
      </w:tr>
      <w:tr w:rsidR="00707D48" w:rsidRPr="00707D48" w:rsidTr="00707D48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Total Cost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$18.40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$24.43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$21.42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$8.09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$9.59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48" w:rsidRPr="00707D48" w:rsidRDefault="00707D48" w:rsidP="00707D48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707D48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$7.29</w:t>
            </w:r>
          </w:p>
        </w:tc>
      </w:tr>
    </w:tbl>
    <w:p w:rsidR="00707D48" w:rsidRDefault="004066D8" w:rsidP="004066D8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706B9">
        <w:rPr>
          <w:noProof/>
        </w:rPr>
        <w:t>8</w:t>
      </w:r>
      <w:r>
        <w:fldChar w:fldCharType="end"/>
      </w:r>
      <w:r>
        <w:t>: Summary of OH Cost allocation per unit produced for various cost allocation methods</w:t>
      </w:r>
    </w:p>
    <w:p w:rsidR="004066D8" w:rsidRDefault="004066D8" w:rsidP="004066D8"/>
    <w:p w:rsidR="007924E1" w:rsidRDefault="007924E1" w:rsidP="004066D8"/>
    <w:p w:rsidR="007924E1" w:rsidRDefault="007924E1" w:rsidP="004066D8"/>
    <w:tbl>
      <w:tblPr>
        <w:tblW w:w="6380" w:type="dxa"/>
        <w:tblInd w:w="93" w:type="dxa"/>
        <w:tblLook w:val="04A0" w:firstRow="1" w:lastRow="0" w:firstColumn="1" w:lastColumn="0" w:noHBand="0" w:noVBand="1"/>
      </w:tblPr>
      <w:tblGrid>
        <w:gridCol w:w="2300"/>
        <w:gridCol w:w="1504"/>
        <w:gridCol w:w="1360"/>
        <w:gridCol w:w="1360"/>
      </w:tblGrid>
      <w:tr w:rsidR="006706B9" w:rsidRPr="006706B9" w:rsidTr="006706B9">
        <w:trPr>
          <w:trHeight w:val="6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OH Activity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Cost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Cost Driver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% of total Cost</w:t>
            </w:r>
          </w:p>
        </w:tc>
      </w:tr>
      <w:tr w:rsidR="006706B9" w:rsidRPr="006706B9" w:rsidTr="006706B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Assembly Supervision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$160,000.00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DLH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jc w:val="center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13%</w:t>
            </w:r>
          </w:p>
        </w:tc>
      </w:tr>
      <w:tr w:rsidR="006706B9" w:rsidRPr="006706B9" w:rsidTr="006706B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$160,000.00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Machine H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jc w:val="center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30%</w:t>
            </w:r>
          </w:p>
        </w:tc>
      </w:tr>
      <w:tr w:rsidR="006706B9" w:rsidRPr="006706B9" w:rsidTr="006706B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Cutting Depreciation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$160,000.00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Machine H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</w:tr>
      <w:tr w:rsidR="006706B9" w:rsidRPr="006706B9" w:rsidTr="006706B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Assembly Depreciation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$40,000.00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Machine H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</w:tr>
      <w:tr w:rsidR="006706B9" w:rsidRPr="006706B9" w:rsidTr="006706B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Setup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$400,000.00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Setup H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jc w:val="center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57%</w:t>
            </w:r>
          </w:p>
        </w:tc>
      </w:tr>
      <w:tr w:rsidR="006706B9" w:rsidRPr="006706B9" w:rsidTr="006706B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Cutting Supervision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jc w:val="right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$280,000.00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Setup H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</w:p>
        </w:tc>
      </w:tr>
      <w:tr w:rsidR="006706B9" w:rsidRPr="006706B9" w:rsidTr="006706B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jc w:val="right"/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$1,200,000.00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9" w:rsidRPr="006706B9" w:rsidRDefault="006706B9" w:rsidP="006706B9">
            <w:pPr>
              <w:jc w:val="center"/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 w:rsidRPr="006706B9">
              <w:rPr>
                <w:rFonts w:ascii="Calibri" w:eastAsia="Times New Roman" w:hAnsi="Calibri" w:cs="Times New Roman"/>
                <w:b/>
                <w:bCs/>
                <w:iCs w:val="0"/>
                <w:color w:val="000000"/>
                <w:sz w:val="22"/>
                <w:szCs w:val="22"/>
              </w:rPr>
              <w:t>100%</w:t>
            </w:r>
          </w:p>
        </w:tc>
      </w:tr>
    </w:tbl>
    <w:p w:rsidR="004066D8" w:rsidRPr="004066D8" w:rsidRDefault="006706B9" w:rsidP="006706B9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t xml:space="preserve">: Contribution </w:t>
      </w:r>
      <w:r w:rsidR="00D5021B">
        <w:t>of</w:t>
      </w:r>
      <w:r>
        <w:t xml:space="preserve"> total overhead costs per cost drivers</w:t>
      </w:r>
    </w:p>
    <w:sectPr w:rsidR="004066D8" w:rsidRPr="004066D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F4" w:rsidRDefault="000C34F4" w:rsidP="004421A0">
      <w:r>
        <w:separator/>
      </w:r>
    </w:p>
  </w:endnote>
  <w:endnote w:type="continuationSeparator" w:id="0">
    <w:p w:rsidR="000C34F4" w:rsidRDefault="000C34F4" w:rsidP="0044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F4" w:rsidRDefault="000C34F4" w:rsidP="004421A0">
      <w:r>
        <w:separator/>
      </w:r>
    </w:p>
  </w:footnote>
  <w:footnote w:type="continuationSeparator" w:id="0">
    <w:p w:rsidR="000C34F4" w:rsidRDefault="000C34F4" w:rsidP="00442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713"/>
      <w:gridCol w:w="2877"/>
    </w:tblGrid>
    <w:tr w:rsidR="004421A0">
      <w:tc>
        <w:tcPr>
          <w:tcW w:w="3500" w:type="pct"/>
          <w:tcBorders>
            <w:bottom w:val="single" w:sz="4" w:space="0" w:color="auto"/>
          </w:tcBorders>
          <w:vAlign w:val="bottom"/>
        </w:tcPr>
        <w:p w:rsidR="004421A0" w:rsidRDefault="004421A0" w:rsidP="004421A0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C30926E90EBE431E875F8E243A80351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MBA 628: Case 2 – Showman Shoes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61725DEDB96C4281A57CED03E8D68E8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4421A0" w:rsidRDefault="004421A0" w:rsidP="004421A0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Simon </w:t>
              </w:r>
              <w:proofErr w:type="spellStart"/>
              <w:r>
                <w:rPr>
                  <w:color w:val="FFFFFF" w:themeColor="background1"/>
                </w:rPr>
                <w:t>Foucher</w:t>
              </w:r>
              <w:proofErr w:type="spellEnd"/>
              <w:r>
                <w:rPr>
                  <w:color w:val="FFFFFF" w:themeColor="background1"/>
                </w:rPr>
                <w:t xml:space="preserve"> 710 7722</w:t>
              </w:r>
            </w:p>
          </w:tc>
        </w:sdtContent>
      </w:sdt>
    </w:tr>
  </w:tbl>
  <w:p w:rsidR="004421A0" w:rsidRDefault="004421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F4B"/>
    <w:multiLevelType w:val="hybridMultilevel"/>
    <w:tmpl w:val="C084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E0ECF"/>
    <w:multiLevelType w:val="hybridMultilevel"/>
    <w:tmpl w:val="B3E632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2A12"/>
    <w:multiLevelType w:val="hybridMultilevel"/>
    <w:tmpl w:val="9BC2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3218B"/>
    <w:multiLevelType w:val="hybridMultilevel"/>
    <w:tmpl w:val="94261A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124DB"/>
    <w:multiLevelType w:val="hybridMultilevel"/>
    <w:tmpl w:val="2EEC58DE"/>
    <w:lvl w:ilvl="0" w:tplc="04090015">
      <w:start w:val="1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5">
    <w:nsid w:val="58447328"/>
    <w:multiLevelType w:val="hybridMultilevel"/>
    <w:tmpl w:val="5118828A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>
    <w:nsid w:val="5D182517"/>
    <w:multiLevelType w:val="hybridMultilevel"/>
    <w:tmpl w:val="17709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11C77"/>
    <w:multiLevelType w:val="hybridMultilevel"/>
    <w:tmpl w:val="9FC4B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6548C"/>
    <w:multiLevelType w:val="hybridMultilevel"/>
    <w:tmpl w:val="823C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A542E"/>
    <w:multiLevelType w:val="hybridMultilevel"/>
    <w:tmpl w:val="7EA6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74B98"/>
    <w:multiLevelType w:val="hybridMultilevel"/>
    <w:tmpl w:val="85A0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95"/>
    <w:rsid w:val="00024D43"/>
    <w:rsid w:val="000C34F4"/>
    <w:rsid w:val="000C7B2D"/>
    <w:rsid w:val="000F4238"/>
    <w:rsid w:val="000F6FD5"/>
    <w:rsid w:val="00211879"/>
    <w:rsid w:val="002D2996"/>
    <w:rsid w:val="003727EF"/>
    <w:rsid w:val="004066D8"/>
    <w:rsid w:val="004421A0"/>
    <w:rsid w:val="006706B9"/>
    <w:rsid w:val="006A3576"/>
    <w:rsid w:val="00707D48"/>
    <w:rsid w:val="007924E1"/>
    <w:rsid w:val="00894B80"/>
    <w:rsid w:val="009B767E"/>
    <w:rsid w:val="00A30EFE"/>
    <w:rsid w:val="00C11B95"/>
    <w:rsid w:val="00D5021B"/>
    <w:rsid w:val="00D8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95"/>
    <w:pPr>
      <w:spacing w:after="0" w:line="240" w:lineRule="auto"/>
    </w:pPr>
    <w:rPr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B9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B9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B9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B9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B9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B9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B9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B9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B9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11B95"/>
    <w:rPr>
      <w:b/>
      <w:bCs/>
      <w:color w:val="943634" w:themeColor="accent2" w:themeShade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11B9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C11B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B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B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B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B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B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B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B9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1B9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11B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B9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1B9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C11B95"/>
    <w:rPr>
      <w:b/>
      <w:bCs/>
      <w:spacing w:val="0"/>
    </w:rPr>
  </w:style>
  <w:style w:type="character" w:styleId="Emphasis">
    <w:name w:val="Emphasis"/>
    <w:uiPriority w:val="20"/>
    <w:qFormat/>
    <w:rsid w:val="00C11B9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C11B95"/>
  </w:style>
  <w:style w:type="paragraph" w:styleId="ListParagraph">
    <w:name w:val="List Paragraph"/>
    <w:basedOn w:val="Normal"/>
    <w:uiPriority w:val="34"/>
    <w:qFormat/>
    <w:rsid w:val="00C11B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1B95"/>
    <w:rPr>
      <w:i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11B9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B9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B9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11B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C11B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11B9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11B9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11B9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B9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FE"/>
    <w:rPr>
      <w:rFonts w:ascii="Tahoma" w:hAnsi="Tahoma" w:cs="Tahoma"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2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1A0"/>
    <w:rPr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2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1A0"/>
    <w:rPr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95"/>
    <w:pPr>
      <w:spacing w:after="0" w:line="240" w:lineRule="auto"/>
    </w:pPr>
    <w:rPr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B9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B9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B9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B9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B9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B9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B9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B9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B9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11B95"/>
    <w:rPr>
      <w:b/>
      <w:bCs/>
      <w:color w:val="943634" w:themeColor="accent2" w:themeShade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11B9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C11B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B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B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B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B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B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B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B9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1B9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11B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B9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1B9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C11B95"/>
    <w:rPr>
      <w:b/>
      <w:bCs/>
      <w:spacing w:val="0"/>
    </w:rPr>
  </w:style>
  <w:style w:type="character" w:styleId="Emphasis">
    <w:name w:val="Emphasis"/>
    <w:uiPriority w:val="20"/>
    <w:qFormat/>
    <w:rsid w:val="00C11B9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C11B95"/>
  </w:style>
  <w:style w:type="paragraph" w:styleId="ListParagraph">
    <w:name w:val="List Paragraph"/>
    <w:basedOn w:val="Normal"/>
    <w:uiPriority w:val="34"/>
    <w:qFormat/>
    <w:rsid w:val="00C11B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1B95"/>
    <w:rPr>
      <w:i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11B9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B9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B9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11B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C11B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11B9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11B9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11B9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B9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FE"/>
    <w:rPr>
      <w:rFonts w:ascii="Tahoma" w:hAnsi="Tahoma" w:cs="Tahoma"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2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1A0"/>
    <w:rPr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2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1A0"/>
    <w:rPr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0926E90EBE431E875F8E243A803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EB3C9-3C56-4B35-976E-9A4BBF667EC3}"/>
      </w:docPartPr>
      <w:docPartBody>
        <w:p w:rsidR="005E3EF4" w:rsidRDefault="005E3EF4" w:rsidP="005E3EF4">
          <w:pPr>
            <w:pStyle w:val="C30926E90EBE431E875F8E243A80351A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61725DEDB96C4281A57CED03E8D68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D318-1904-4960-9D75-D11F99BB8A81}"/>
      </w:docPartPr>
      <w:docPartBody>
        <w:p w:rsidR="005E3EF4" w:rsidRDefault="005E3EF4" w:rsidP="005E3EF4">
          <w:pPr>
            <w:pStyle w:val="61725DEDB96C4281A57CED03E8D68E87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F4"/>
    <w:rsid w:val="005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0926E90EBE431E875F8E243A80351A">
    <w:name w:val="C30926E90EBE431E875F8E243A80351A"/>
    <w:rsid w:val="005E3EF4"/>
  </w:style>
  <w:style w:type="paragraph" w:customStyle="1" w:styleId="61725DEDB96C4281A57CED03E8D68E87">
    <w:name w:val="61725DEDB96C4281A57CED03E8D68E87"/>
    <w:rsid w:val="005E3E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0926E90EBE431E875F8E243A80351A">
    <w:name w:val="C30926E90EBE431E875F8E243A80351A"/>
    <w:rsid w:val="005E3EF4"/>
  </w:style>
  <w:style w:type="paragraph" w:customStyle="1" w:styleId="61725DEDB96C4281A57CED03E8D68E87">
    <w:name w:val="61725DEDB96C4281A57CED03E8D68E87"/>
    <w:rsid w:val="005E3E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Simon Foucher 710 7722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3A09EE-8754-4B1E-9FB7-BDDF1E3D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MBA 628: Case 2 – Showman Shoes</vt:lpstr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MBA 628: Case 2 – Showman Shoes</dc:title>
  <dc:creator>Zeben</dc:creator>
  <cp:lastModifiedBy>Zeben</cp:lastModifiedBy>
  <cp:revision>11</cp:revision>
  <dcterms:created xsi:type="dcterms:W3CDTF">2014-01-18T16:19:00Z</dcterms:created>
  <dcterms:modified xsi:type="dcterms:W3CDTF">2014-01-18T21:25:00Z</dcterms:modified>
</cp:coreProperties>
</file>