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3E5" w:rsidRDefault="009713E5" w:rsidP="009713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b/>
        </w:rPr>
      </w:pPr>
      <w:r>
        <w:rPr>
          <w:rFonts w:cs="Times New Roman"/>
          <w:b/>
        </w:rPr>
        <w:t>THE JOHN MOLSON SCHOOL OF BUSINESS</w:t>
      </w:r>
    </w:p>
    <w:p w:rsidR="009713E5" w:rsidRDefault="009713E5" w:rsidP="009713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b/>
        </w:rPr>
      </w:pPr>
      <w:r>
        <w:rPr>
          <w:rFonts w:cs="Times New Roman"/>
          <w:b/>
        </w:rPr>
        <w:t xml:space="preserve">MBA 607 </w:t>
      </w:r>
      <w:r>
        <w:rPr>
          <w:rFonts w:cs="Times New Roman"/>
          <w:b/>
        </w:rPr>
        <w:tab/>
        <w:t xml:space="preserve">FINAL EXAM   </w:t>
      </w:r>
      <w:r>
        <w:rPr>
          <w:rFonts w:cs="Times New Roman"/>
          <w:b/>
        </w:rPr>
        <w:tab/>
        <w:t>Dec 2012</w:t>
      </w:r>
      <w:r>
        <w:rPr>
          <w:rFonts w:cs="Times New Roman"/>
          <w:b/>
        </w:rPr>
        <w:tab/>
      </w:r>
      <w:r>
        <w:rPr>
          <w:rFonts w:cs="Times New Roman"/>
          <w:b/>
        </w:rPr>
        <w:tab/>
        <w:t>(100 MARKS)</w:t>
      </w:r>
    </w:p>
    <w:p w:rsidR="009713E5" w:rsidRDefault="009713E5" w:rsidP="009713E5">
      <w:pPr>
        <w:jc w:val="center"/>
      </w:pPr>
    </w:p>
    <w:p w:rsidR="009713E5" w:rsidRDefault="009713E5" w:rsidP="009713E5">
      <w:pPr>
        <w:jc w:val="center"/>
        <w:rPr>
          <w:b/>
        </w:rPr>
      </w:pPr>
      <w:r>
        <w:rPr>
          <w:b/>
        </w:rPr>
        <w:t>KEY ANSWERS</w:t>
      </w:r>
    </w:p>
    <w:p w:rsidR="009713E5" w:rsidRDefault="009713E5" w:rsidP="009713E5">
      <w:pPr>
        <w:jc w:val="center"/>
        <w:rPr>
          <w:b/>
        </w:rPr>
      </w:pPr>
    </w:p>
    <w:p w:rsidR="009713E5" w:rsidRDefault="009713E5" w:rsidP="009713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b/>
          <w:u w:val="single"/>
        </w:rPr>
      </w:pPr>
      <w:r>
        <w:rPr>
          <w:rFonts w:cs="Times New Roman"/>
          <w:b/>
          <w:u w:val="single"/>
        </w:rPr>
        <w:t>Question 1 – Multiple choice (50 marks, 2 marks each)</w:t>
      </w:r>
    </w:p>
    <w:tbl>
      <w:tblPr>
        <w:tblW w:w="0" w:type="auto"/>
        <w:tblLayout w:type="fixed"/>
        <w:tblLook w:val="0000" w:firstRow="0" w:lastRow="0" w:firstColumn="0" w:lastColumn="0" w:noHBand="0" w:noVBand="0"/>
      </w:tblPr>
      <w:tblGrid>
        <w:gridCol w:w="958"/>
        <w:gridCol w:w="992"/>
      </w:tblGrid>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a</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a</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c</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d</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c</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d</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a</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a</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c</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d</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c</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b</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c</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a</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a</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16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a</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17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c</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18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b</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19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d</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20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b</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21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b</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22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d</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23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b</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24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a</w:t>
            </w:r>
          </w:p>
        </w:tc>
      </w:tr>
      <w:tr w:rsidR="009713E5" w:rsidTr="00DB7A9B">
        <w:tc>
          <w:tcPr>
            <w:tcW w:w="958"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25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100" w:lineRule="atLeast"/>
              <w:rPr>
                <w:rFonts w:cs="Times New Roman"/>
              </w:rPr>
            </w:pPr>
            <w:r>
              <w:rPr>
                <w:rFonts w:cs="Times New Roman"/>
              </w:rPr>
              <w:t>d</w:t>
            </w:r>
          </w:p>
        </w:tc>
      </w:tr>
    </w:tbl>
    <w:p w:rsidR="009713E5" w:rsidRDefault="009713E5" w:rsidP="009713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rPr>
      </w:pPr>
      <w:r>
        <w:rPr>
          <w:rFonts w:cs="Times New Roman"/>
        </w:rPr>
        <w:br/>
        <w:t>26</w:t>
      </w:r>
      <w:r>
        <w:rPr>
          <w:rFonts w:cs="Times New Roman"/>
        </w:rPr>
        <w:tab/>
        <w:t xml:space="preserve">    c</w:t>
      </w:r>
    </w:p>
    <w:p w:rsidR="009713E5" w:rsidRDefault="009713E5" w:rsidP="009713E5">
      <w:pPr>
        <w:spacing w:after="200" w:line="276" w:lineRule="auto"/>
        <w:rPr>
          <w:rFonts w:cs="Times New Roman"/>
          <w:b/>
          <w:u w:val="single"/>
        </w:rPr>
      </w:pPr>
    </w:p>
    <w:p w:rsidR="009713E5" w:rsidRDefault="009713E5" w:rsidP="009713E5">
      <w:pPr>
        <w:pageBreakBefore/>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b/>
          <w:u w:val="single"/>
        </w:rPr>
      </w:pPr>
      <w:r>
        <w:rPr>
          <w:rFonts w:cs="Times New Roman"/>
          <w:b/>
          <w:u w:val="single"/>
        </w:rPr>
        <w:lastRenderedPageBreak/>
        <w:t>Question 2 – Short answers (32 marks)</w:t>
      </w:r>
    </w:p>
    <w:p w:rsidR="009713E5" w:rsidRDefault="009713E5" w:rsidP="009713E5">
      <w:pPr>
        <w:jc w:val="both"/>
      </w:pPr>
    </w:p>
    <w:p w:rsidR="009713E5" w:rsidRDefault="009713E5" w:rsidP="009713E5">
      <w:pPr>
        <w:pStyle w:val="ListParagraph"/>
        <w:numPr>
          <w:ilvl w:val="0"/>
          <w:numId w:val="1"/>
        </w:numPr>
        <w:jc w:val="both"/>
      </w:pPr>
      <w:r>
        <w:t>(3 marks, 1 mark for proper identification of both methods, 2 marks for arguments)</w:t>
      </w:r>
    </w:p>
    <w:p w:rsidR="009713E5" w:rsidRDefault="009713E5" w:rsidP="009713E5">
      <w:pPr>
        <w:keepNext/>
        <w:keepLines/>
        <w:spacing w:before="319" w:after="319"/>
        <w:ind w:left="360"/>
        <w:rPr>
          <w:color w:val="000000"/>
        </w:rPr>
      </w:pPr>
      <w:r>
        <w:rPr>
          <w:color w:val="000000"/>
        </w:rPr>
        <w:t>The decision of whether to use LIFO or FIFO depends upon management's financial reporting objectives. In a period of rising prices, LIFO will assign more recent (and higher) costs to the cost of goods sold, therefore minimizing reported income. For this reason, LIFO is popular for income tax purposes. However, the IRS requires companies that use LIFO for income tax purposes also to use the LIFO method in their financial statements.</w:t>
      </w:r>
      <w:r>
        <w:rPr>
          <w:color w:val="000000"/>
        </w:rPr>
        <w:br/>
        <w:t>The FIFO method, in contrast, assigns older (and lower) costs to the cost of goods sold, thereby enabling the company to report a higher gross profit. This method may be preferred by a management that is concerned with creating a superficial impression of profitability.</w:t>
      </w:r>
    </w:p>
    <w:p w:rsidR="009713E5" w:rsidRDefault="009713E5" w:rsidP="009713E5">
      <w:pPr>
        <w:pStyle w:val="ListParagraph"/>
        <w:keepNext/>
        <w:keepLines/>
        <w:numPr>
          <w:ilvl w:val="0"/>
          <w:numId w:val="1"/>
        </w:numPr>
        <w:rPr>
          <w:color w:val="000000"/>
        </w:rPr>
      </w:pPr>
      <w:r>
        <w:rPr>
          <w:color w:val="000000"/>
        </w:rPr>
        <w:t>(2 marks)</w:t>
      </w:r>
    </w:p>
    <w:p w:rsidR="009713E5" w:rsidRDefault="009713E5" w:rsidP="009713E5">
      <w:pPr>
        <w:keepNext/>
        <w:keepLines/>
        <w:spacing w:before="319" w:after="319"/>
        <w:ind w:left="360"/>
        <w:rPr>
          <w:color w:val="000000"/>
        </w:rPr>
      </w:pPr>
      <w:r>
        <w:rPr>
          <w:color w:val="000000"/>
        </w:rPr>
        <w:t>The retail method may be used as a valuation method in conjunction with the taking of a physical inventory. In these cases, the inventory is counted and priced at retail prices, but the cost of the inventory is then estimated by applying the cost ratio to this retail price. In the balance sheet, the inventory is shown at the estimated cost figure.</w:t>
      </w:r>
    </w:p>
    <w:p w:rsidR="009713E5" w:rsidRDefault="009713E5" w:rsidP="009713E5">
      <w:pPr>
        <w:pStyle w:val="ListParagraph"/>
        <w:numPr>
          <w:ilvl w:val="0"/>
          <w:numId w:val="1"/>
        </w:numPr>
        <w:rPr>
          <w:rFonts w:cs="Times New Roman"/>
          <w:color w:val="000000"/>
        </w:rPr>
      </w:pPr>
      <w:r>
        <w:rPr>
          <w:rFonts w:cs="Times New Roman"/>
          <w:color w:val="000000"/>
        </w:rPr>
        <w:t>(4 marks)</w:t>
      </w:r>
    </w:p>
    <w:p w:rsidR="009713E5" w:rsidRDefault="009713E5" w:rsidP="009713E5">
      <w:pPr>
        <w:pStyle w:val="ListParagraph"/>
        <w:keepNext/>
        <w:keepLines/>
        <w:spacing w:before="319" w:after="319"/>
        <w:rPr>
          <w:color w:val="000000"/>
        </w:rPr>
      </w:pPr>
    </w:p>
    <w:p w:rsidR="009713E5" w:rsidRDefault="009713E5" w:rsidP="009713E5">
      <w:pPr>
        <w:pStyle w:val="ListParagraph"/>
        <w:keepNext/>
        <w:keepLines/>
        <w:spacing w:before="319" w:after="319"/>
        <w:ind w:left="426"/>
        <w:rPr>
          <w:color w:val="000000"/>
        </w:rPr>
      </w:pPr>
      <w:r>
        <w:rPr>
          <w:color w:val="000000"/>
        </w:rPr>
        <w:t xml:space="preserve">Student's answer should include two of the following features of most preferred stocks that justify the term </w:t>
      </w:r>
      <w:r>
        <w:rPr>
          <w:i/>
          <w:iCs/>
          <w:color w:val="000000"/>
        </w:rPr>
        <w:t>preferred</w:t>
      </w:r>
      <w:r>
        <w:rPr>
          <w:color w:val="000000"/>
        </w:rPr>
        <w:t>:</w:t>
      </w:r>
      <w:r>
        <w:rPr>
          <w:color w:val="000000"/>
        </w:rPr>
        <w:br/>
        <w:t xml:space="preserve">(a) </w:t>
      </w:r>
      <w:r>
        <w:rPr>
          <w:i/>
          <w:iCs/>
          <w:color w:val="000000"/>
        </w:rPr>
        <w:t>Preferred as to dividends</w:t>
      </w:r>
      <w:r>
        <w:rPr>
          <w:color w:val="000000"/>
        </w:rPr>
        <w:t xml:space="preserve"> Preferred stock is entitled to receive each year a dividend of specified amount before any dividend is paid on the common stock.</w:t>
      </w:r>
      <w:r>
        <w:rPr>
          <w:color w:val="000000"/>
        </w:rPr>
        <w:br/>
        <w:t xml:space="preserve">(b) </w:t>
      </w:r>
      <w:r>
        <w:rPr>
          <w:i/>
          <w:iCs/>
          <w:color w:val="000000"/>
        </w:rPr>
        <w:t>Cumulative as to dividend rights</w:t>
      </w:r>
      <w:r>
        <w:rPr>
          <w:color w:val="000000"/>
        </w:rPr>
        <w:t xml:space="preserve"> If any or all of the regular dividend on cumulative preferred stock is omitted in a given year, the amount omitted is </w:t>
      </w:r>
      <w:r>
        <w:rPr>
          <w:i/>
          <w:iCs/>
          <w:color w:val="000000"/>
        </w:rPr>
        <w:t>in arrears</w:t>
      </w:r>
      <w:r>
        <w:rPr>
          <w:color w:val="000000"/>
        </w:rPr>
        <w:t xml:space="preserve"> and must be paid in a subsequent year before any dividend can be paid on the common stock.</w:t>
      </w:r>
      <w:r>
        <w:rPr>
          <w:color w:val="000000"/>
        </w:rPr>
        <w:br/>
        <w:t xml:space="preserve">(c) </w:t>
      </w:r>
      <w:r>
        <w:rPr>
          <w:i/>
          <w:iCs/>
          <w:color w:val="000000"/>
        </w:rPr>
        <w:t>Preferred as to assets in event of liquidation</w:t>
      </w:r>
      <w:r>
        <w:rPr>
          <w:color w:val="000000"/>
        </w:rPr>
        <w:t xml:space="preserve"> If a business is terminated, the preferred stock is entitled to payment in full of its par value or a higher stated liquidation value before any payment is made to common stockholders.</w:t>
      </w:r>
      <w:r>
        <w:rPr>
          <w:color w:val="000000"/>
        </w:rPr>
        <w:br/>
      </w:r>
      <w:r>
        <w:rPr>
          <w:color w:val="000000"/>
        </w:rPr>
        <w:br/>
        <w:t xml:space="preserve">(Student may also list </w:t>
      </w:r>
      <w:r>
        <w:rPr>
          <w:i/>
          <w:iCs/>
          <w:color w:val="000000"/>
        </w:rPr>
        <w:t>conversion privilege</w:t>
      </w:r>
      <w:r>
        <w:rPr>
          <w:color w:val="000000"/>
        </w:rPr>
        <w:t xml:space="preserve"> as a "preferred" feature of some preferred stock.)</w:t>
      </w:r>
    </w:p>
    <w:p w:rsidR="009713E5" w:rsidRDefault="009713E5" w:rsidP="009713E5">
      <w:pPr>
        <w:pStyle w:val="ListParagraph"/>
        <w:rPr>
          <w:color w:val="000000"/>
          <w:sz w:val="18"/>
          <w:szCs w:val="18"/>
        </w:rPr>
      </w:pPr>
      <w:r>
        <w:rPr>
          <w:color w:val="000000"/>
          <w:sz w:val="18"/>
          <w:szCs w:val="18"/>
        </w:rPr>
        <w:br/>
      </w:r>
    </w:p>
    <w:p w:rsidR="009713E5" w:rsidRDefault="009713E5" w:rsidP="009713E5">
      <w:pPr>
        <w:pStyle w:val="ListParagraph"/>
        <w:numPr>
          <w:ilvl w:val="0"/>
          <w:numId w:val="1"/>
        </w:numPr>
        <w:jc w:val="both"/>
      </w:pPr>
      <w:r>
        <w:t>(2 marks, half mark each)</w:t>
      </w:r>
    </w:p>
    <w:p w:rsidR="009713E5" w:rsidRDefault="009713E5" w:rsidP="009713E5">
      <w:pPr>
        <w:pStyle w:val="ListParagraph"/>
        <w:jc w:val="both"/>
      </w:pPr>
      <w:r>
        <w:t>EPS=net income/no of shares outstanding</w:t>
      </w:r>
    </w:p>
    <w:p w:rsidR="009713E5" w:rsidRDefault="009713E5" w:rsidP="009713E5">
      <w:pPr>
        <w:pStyle w:val="ListParagraph"/>
        <w:jc w:val="both"/>
        <w:rPr>
          <w:color w:val="000000"/>
          <w:lang w:val="fr-CA"/>
        </w:rPr>
      </w:pPr>
      <w:r>
        <w:rPr>
          <w:color w:val="000000"/>
          <w:lang w:val="fr-CA"/>
        </w:rPr>
        <w:t>Current ratio= current assets/current liabilities</w:t>
      </w:r>
    </w:p>
    <w:p w:rsidR="009713E5" w:rsidRDefault="009713E5" w:rsidP="009713E5">
      <w:pPr>
        <w:pStyle w:val="ListParagraph"/>
        <w:jc w:val="both"/>
        <w:rPr>
          <w:color w:val="000000"/>
        </w:rPr>
      </w:pPr>
      <w:r>
        <w:rPr>
          <w:color w:val="000000"/>
        </w:rPr>
        <w:t>Gross Margin percentage  = gross margin/net sales revenues</w:t>
      </w:r>
    </w:p>
    <w:p w:rsidR="009713E5" w:rsidRDefault="009713E5" w:rsidP="009713E5">
      <w:pPr>
        <w:pStyle w:val="ListParagraph"/>
        <w:jc w:val="both"/>
        <w:rPr>
          <w:color w:val="000000"/>
        </w:rPr>
      </w:pPr>
      <w:r>
        <w:rPr>
          <w:color w:val="000000"/>
        </w:rPr>
        <w:t>PE ratio = market price per share/net income per share</w:t>
      </w:r>
    </w:p>
    <w:p w:rsidR="009713E5" w:rsidRDefault="009713E5" w:rsidP="009713E5">
      <w:pPr>
        <w:spacing w:after="200" w:line="276" w:lineRule="auto"/>
      </w:pPr>
    </w:p>
    <w:p w:rsidR="009713E5" w:rsidRDefault="009713E5" w:rsidP="009713E5">
      <w:pPr>
        <w:pStyle w:val="ListParagraph"/>
        <w:pageBreakBefore/>
        <w:numPr>
          <w:ilvl w:val="0"/>
          <w:numId w:val="1"/>
        </w:numPr>
        <w:jc w:val="both"/>
      </w:pPr>
      <w:r>
        <w:lastRenderedPageBreak/>
        <w:t>a. 3 marks (each account half a mark)</w:t>
      </w:r>
    </w:p>
    <w:p w:rsidR="009713E5" w:rsidRDefault="009713E5" w:rsidP="009713E5">
      <w:pPr>
        <w:pStyle w:val="ListParagraph"/>
        <w:jc w:val="both"/>
      </w:pPr>
    </w:p>
    <w:tbl>
      <w:tblPr>
        <w:tblW w:w="0" w:type="auto"/>
        <w:tblLayout w:type="fixed"/>
        <w:tblLook w:val="0000" w:firstRow="0" w:lastRow="0" w:firstColumn="0" w:lastColumn="0" w:noHBand="0" w:noVBand="0"/>
      </w:tblPr>
      <w:tblGrid>
        <w:gridCol w:w="629"/>
        <w:gridCol w:w="436"/>
        <w:gridCol w:w="408"/>
        <w:gridCol w:w="1473"/>
        <w:gridCol w:w="1473"/>
        <w:gridCol w:w="1474"/>
        <w:gridCol w:w="197"/>
        <w:gridCol w:w="1276"/>
        <w:gridCol w:w="892"/>
        <w:gridCol w:w="236"/>
        <w:gridCol w:w="580"/>
        <w:gridCol w:w="1473"/>
      </w:tblGrid>
      <w:tr w:rsidR="009713E5" w:rsidTr="00DB7A9B">
        <w:trPr>
          <w:gridAfter w:val="2"/>
          <w:wAfter w:w="2053" w:type="dxa"/>
          <w:trHeight w:val="240"/>
        </w:trPr>
        <w:tc>
          <w:tcPr>
            <w:tcW w:w="629" w:type="dxa"/>
            <w:tcBorders>
              <w:top w:val="double" w:sz="1" w:space="0" w:color="000000"/>
              <w:left w:val="double" w:sz="1" w:space="0" w:color="000000"/>
              <w:bottom w:val="single" w:sz="4" w:space="0" w:color="000000"/>
              <w:right w:val="single" w:sz="4"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Oct</w:t>
            </w:r>
          </w:p>
        </w:tc>
        <w:tc>
          <w:tcPr>
            <w:tcW w:w="436" w:type="dxa"/>
            <w:tcBorders>
              <w:top w:val="double" w:sz="1" w:space="0" w:color="000000"/>
              <w:bottom w:val="single" w:sz="4" w:space="0" w:color="000000"/>
              <w:right w:val="single" w:sz="4" w:space="0" w:color="000000"/>
            </w:tcBorders>
            <w:shd w:val="clear" w:color="auto" w:fill="FFFFFF"/>
            <w:vAlign w:val="center"/>
          </w:tcPr>
          <w:p w:rsidR="009713E5" w:rsidRDefault="009713E5" w:rsidP="00DB7A9B">
            <w:pPr>
              <w:jc w:val="right"/>
              <w:rPr>
                <w:rFonts w:ascii="Arial" w:hAnsi="Arial" w:cs="Arial"/>
                <w:b/>
                <w:bCs/>
                <w:sz w:val="20"/>
                <w:szCs w:val="20"/>
              </w:rPr>
            </w:pPr>
            <w:r>
              <w:rPr>
                <w:rFonts w:ascii="Arial" w:hAnsi="Arial" w:cs="Arial"/>
                <w:b/>
                <w:bCs/>
                <w:sz w:val="20"/>
                <w:szCs w:val="20"/>
              </w:rPr>
              <w:t xml:space="preserve">  1 </w:t>
            </w:r>
          </w:p>
        </w:tc>
        <w:tc>
          <w:tcPr>
            <w:tcW w:w="5025" w:type="dxa"/>
            <w:gridSpan w:val="5"/>
            <w:tcBorders>
              <w:top w:val="double" w:sz="1" w:space="0" w:color="000000"/>
              <w:left w:val="single" w:sz="4" w:space="0" w:color="000000"/>
              <w:bottom w:val="single" w:sz="4" w:space="0" w:color="000000"/>
              <w:right w:val="double" w:sz="1"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 xml:space="preserve"> Office Equipment (new computer)</w:t>
            </w:r>
          </w:p>
        </w:tc>
        <w:tc>
          <w:tcPr>
            <w:tcW w:w="2168" w:type="dxa"/>
            <w:gridSpan w:val="2"/>
            <w:tcBorders>
              <w:top w:val="double" w:sz="1" w:space="0" w:color="000000"/>
              <w:bottom w:val="single" w:sz="4" w:space="0" w:color="000000"/>
              <w:right w:val="double" w:sz="1"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 xml:space="preserve">               8,000 </w:t>
            </w:r>
          </w:p>
        </w:tc>
        <w:tc>
          <w:tcPr>
            <w:tcW w:w="1" w:type="dxa"/>
            <w:tcBorders>
              <w:top w:val="double" w:sz="1" w:space="0" w:color="000000"/>
              <w:bottom w:val="single" w:sz="4" w:space="0" w:color="000000"/>
              <w:right w:val="double" w:sz="1"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 xml:space="preserve">   </w:t>
            </w:r>
          </w:p>
        </w:tc>
      </w:tr>
      <w:tr w:rsidR="009713E5" w:rsidTr="00DB7A9B">
        <w:trPr>
          <w:gridAfter w:val="1"/>
          <w:wAfter w:w="1473" w:type="dxa"/>
          <w:trHeight w:val="240"/>
        </w:trPr>
        <w:tc>
          <w:tcPr>
            <w:tcW w:w="1473" w:type="dxa"/>
            <w:gridSpan w:val="3"/>
            <w:tcBorders>
              <w:left w:val="double" w:sz="1" w:space="0" w:color="000000"/>
              <w:bottom w:val="single" w:sz="4" w:space="0" w:color="000000"/>
              <w:right w:val="single" w:sz="4"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w:t>
            </w:r>
          </w:p>
        </w:tc>
        <w:tc>
          <w:tcPr>
            <w:tcW w:w="1473" w:type="dxa"/>
            <w:tcBorders>
              <w:bottom w:val="single" w:sz="4" w:space="0" w:color="000000"/>
              <w:right w:val="single" w:sz="4"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xml:space="preserve">   </w:t>
            </w:r>
          </w:p>
        </w:tc>
        <w:tc>
          <w:tcPr>
            <w:tcW w:w="1473" w:type="dxa"/>
            <w:tcBorders>
              <w:top w:val="single" w:sz="4" w:space="0" w:color="000000"/>
              <w:left w:val="single" w:sz="4" w:space="0" w:color="000000"/>
              <w:bottom w:val="single" w:sz="4"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 xml:space="preserve"> Loss on Trade-in of Plant Assets</w:t>
            </w:r>
          </w:p>
        </w:tc>
        <w:tc>
          <w:tcPr>
            <w:tcW w:w="1474" w:type="dxa"/>
            <w:tcBorders>
              <w:bottom w:val="single" w:sz="4" w:space="0" w:color="000000"/>
              <w:right w:val="double" w:sz="1"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 </w:t>
            </w:r>
          </w:p>
        </w:tc>
        <w:tc>
          <w:tcPr>
            <w:tcW w:w="1473" w:type="dxa"/>
            <w:gridSpan w:val="2"/>
            <w:tcBorders>
              <w:bottom w:val="single" w:sz="4" w:space="0" w:color="000000"/>
              <w:right w:val="double" w:sz="1"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 xml:space="preserve">               3,500 </w:t>
            </w:r>
          </w:p>
        </w:tc>
        <w:tc>
          <w:tcPr>
            <w:tcW w:w="1473" w:type="dxa"/>
            <w:gridSpan w:val="3"/>
            <w:tcBorders>
              <w:bottom w:val="single" w:sz="4" w:space="0" w:color="000000"/>
              <w:right w:val="double" w:sz="1"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 xml:space="preserve">   </w:t>
            </w:r>
          </w:p>
        </w:tc>
      </w:tr>
      <w:tr w:rsidR="009713E5" w:rsidTr="00DB7A9B">
        <w:trPr>
          <w:gridAfter w:val="2"/>
          <w:wAfter w:w="2053" w:type="dxa"/>
          <w:trHeight w:val="240"/>
        </w:trPr>
        <w:tc>
          <w:tcPr>
            <w:tcW w:w="629" w:type="dxa"/>
            <w:tcBorders>
              <w:left w:val="double" w:sz="1" w:space="0" w:color="000000"/>
              <w:bottom w:val="single" w:sz="4" w:space="0" w:color="000000"/>
              <w:right w:val="single" w:sz="4"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w:t>
            </w:r>
          </w:p>
        </w:tc>
        <w:tc>
          <w:tcPr>
            <w:tcW w:w="436" w:type="dxa"/>
            <w:tcBorders>
              <w:bottom w:val="single" w:sz="4" w:space="0" w:color="000000"/>
              <w:right w:val="single" w:sz="4"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xml:space="preserve"> </w:t>
            </w:r>
          </w:p>
        </w:tc>
        <w:tc>
          <w:tcPr>
            <w:tcW w:w="5025" w:type="dxa"/>
            <w:gridSpan w:val="5"/>
            <w:tcBorders>
              <w:top w:val="single" w:sz="4" w:space="0" w:color="000000"/>
              <w:left w:val="single" w:sz="4" w:space="0" w:color="000000"/>
              <w:bottom w:val="single" w:sz="4" w:space="0" w:color="000000"/>
              <w:right w:val="double" w:sz="1" w:space="0" w:color="000000"/>
            </w:tcBorders>
            <w:shd w:val="clear" w:color="auto" w:fill="FFFFFF"/>
            <w:vAlign w:val="center"/>
          </w:tcPr>
          <w:p w:rsidR="009713E5" w:rsidRDefault="009713E5" w:rsidP="00DB7A9B">
            <w:pPr>
              <w:rPr>
                <w:rFonts w:ascii="Arial" w:hAnsi="Arial" w:cs="Arial"/>
                <w:bCs/>
                <w:sz w:val="18"/>
                <w:szCs w:val="18"/>
              </w:rPr>
            </w:pPr>
            <w:r>
              <w:rPr>
                <w:rFonts w:ascii="Arial" w:hAnsi="Arial" w:cs="Arial"/>
                <w:bCs/>
                <w:sz w:val="18"/>
                <w:szCs w:val="18"/>
              </w:rPr>
              <w:t xml:space="preserve"> Accumulated Depreciation: Office Equip. (old computer)</w:t>
            </w:r>
          </w:p>
        </w:tc>
        <w:tc>
          <w:tcPr>
            <w:tcW w:w="2168" w:type="dxa"/>
            <w:gridSpan w:val="2"/>
            <w:tcBorders>
              <w:bottom w:val="single" w:sz="4" w:space="0" w:color="000000"/>
              <w:right w:val="double" w:sz="1"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 xml:space="preserve">             11,000 </w:t>
            </w:r>
          </w:p>
        </w:tc>
        <w:tc>
          <w:tcPr>
            <w:tcW w:w="1" w:type="dxa"/>
            <w:tcBorders>
              <w:bottom w:val="single" w:sz="4" w:space="0" w:color="000000"/>
              <w:right w:val="double" w:sz="1"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 xml:space="preserve">   </w:t>
            </w:r>
          </w:p>
        </w:tc>
      </w:tr>
      <w:tr w:rsidR="009713E5" w:rsidTr="00DB7A9B">
        <w:trPr>
          <w:gridAfter w:val="1"/>
          <w:wAfter w:w="1473" w:type="dxa"/>
          <w:trHeight w:val="240"/>
        </w:trPr>
        <w:tc>
          <w:tcPr>
            <w:tcW w:w="1473" w:type="dxa"/>
            <w:gridSpan w:val="3"/>
            <w:tcBorders>
              <w:left w:val="double" w:sz="1" w:space="0" w:color="000000"/>
              <w:bottom w:val="single" w:sz="4" w:space="0" w:color="000000"/>
              <w:right w:val="single" w:sz="4"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w:t>
            </w:r>
          </w:p>
        </w:tc>
        <w:tc>
          <w:tcPr>
            <w:tcW w:w="1473" w:type="dxa"/>
            <w:tcBorders>
              <w:bottom w:val="single" w:sz="4" w:space="0" w:color="000000"/>
              <w:right w:val="single" w:sz="4"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xml:space="preserve"> </w:t>
            </w:r>
          </w:p>
        </w:tc>
        <w:tc>
          <w:tcPr>
            <w:tcW w:w="1473" w:type="dxa"/>
            <w:tcBorders>
              <w:bottom w:val="single" w:sz="4"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 </w:t>
            </w:r>
          </w:p>
        </w:tc>
        <w:tc>
          <w:tcPr>
            <w:tcW w:w="1474" w:type="dxa"/>
            <w:tcBorders>
              <w:top w:val="single" w:sz="4" w:space="0" w:color="000000"/>
              <w:bottom w:val="single" w:sz="4" w:space="0" w:color="000000"/>
              <w:right w:val="double" w:sz="1"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Office Equipment (old computer)</w:t>
            </w:r>
          </w:p>
        </w:tc>
        <w:tc>
          <w:tcPr>
            <w:tcW w:w="1473" w:type="dxa"/>
            <w:gridSpan w:val="2"/>
            <w:tcBorders>
              <w:bottom w:val="single" w:sz="4" w:space="0" w:color="000000"/>
              <w:right w:val="double" w:sz="1"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 </w:t>
            </w:r>
          </w:p>
        </w:tc>
        <w:tc>
          <w:tcPr>
            <w:tcW w:w="1473" w:type="dxa"/>
            <w:gridSpan w:val="3"/>
            <w:tcBorders>
              <w:bottom w:val="single" w:sz="4" w:space="0" w:color="000000"/>
              <w:right w:val="double" w:sz="1"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 xml:space="preserve">              15,000 </w:t>
            </w:r>
          </w:p>
        </w:tc>
      </w:tr>
      <w:tr w:rsidR="009713E5" w:rsidTr="00DB7A9B">
        <w:trPr>
          <w:trHeight w:val="240"/>
        </w:trPr>
        <w:tc>
          <w:tcPr>
            <w:tcW w:w="1473" w:type="dxa"/>
            <w:gridSpan w:val="3"/>
            <w:tcBorders>
              <w:left w:val="double" w:sz="1" w:space="0" w:color="000000"/>
              <w:bottom w:val="single" w:sz="4" w:space="0" w:color="000000"/>
              <w:right w:val="single" w:sz="4"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w:t>
            </w:r>
          </w:p>
        </w:tc>
        <w:tc>
          <w:tcPr>
            <w:tcW w:w="1473" w:type="dxa"/>
            <w:tcBorders>
              <w:bottom w:val="single" w:sz="4" w:space="0" w:color="000000"/>
              <w:right w:val="single" w:sz="4"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xml:space="preserve"> </w:t>
            </w:r>
          </w:p>
        </w:tc>
        <w:tc>
          <w:tcPr>
            <w:tcW w:w="1473" w:type="dxa"/>
            <w:tcBorders>
              <w:bottom w:val="single" w:sz="4"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 </w:t>
            </w:r>
          </w:p>
        </w:tc>
        <w:tc>
          <w:tcPr>
            <w:tcW w:w="1474" w:type="dxa"/>
            <w:tcBorders>
              <w:bottom w:val="single" w:sz="4"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Cash</w:t>
            </w:r>
          </w:p>
        </w:tc>
        <w:tc>
          <w:tcPr>
            <w:tcW w:w="1473" w:type="dxa"/>
            <w:gridSpan w:val="2"/>
            <w:tcBorders>
              <w:bottom w:val="single" w:sz="4" w:space="0" w:color="000000"/>
              <w:right w:val="double" w:sz="1"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 </w:t>
            </w:r>
          </w:p>
        </w:tc>
        <w:tc>
          <w:tcPr>
            <w:tcW w:w="1473" w:type="dxa"/>
            <w:gridSpan w:val="3"/>
            <w:tcBorders>
              <w:bottom w:val="single" w:sz="4" w:space="0" w:color="000000"/>
              <w:right w:val="double" w:sz="1"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 </w:t>
            </w:r>
          </w:p>
        </w:tc>
        <w:tc>
          <w:tcPr>
            <w:tcW w:w="1473" w:type="dxa"/>
            <w:tcBorders>
              <w:bottom w:val="single" w:sz="4" w:space="0" w:color="000000"/>
              <w:right w:val="double" w:sz="1"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 xml:space="preserve">                1,500 </w:t>
            </w:r>
          </w:p>
        </w:tc>
      </w:tr>
      <w:tr w:rsidR="009713E5" w:rsidTr="00DB7A9B">
        <w:trPr>
          <w:trHeight w:val="240"/>
        </w:trPr>
        <w:tc>
          <w:tcPr>
            <w:tcW w:w="1473" w:type="dxa"/>
            <w:gridSpan w:val="3"/>
            <w:tcBorders>
              <w:left w:val="double" w:sz="1" w:space="0" w:color="000000"/>
              <w:bottom w:val="single" w:sz="4" w:space="0" w:color="000000"/>
              <w:right w:val="single" w:sz="4"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w:t>
            </w:r>
          </w:p>
        </w:tc>
        <w:tc>
          <w:tcPr>
            <w:tcW w:w="1473" w:type="dxa"/>
            <w:tcBorders>
              <w:bottom w:val="single" w:sz="4" w:space="0" w:color="000000"/>
              <w:right w:val="single" w:sz="4"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xml:space="preserve"> </w:t>
            </w:r>
          </w:p>
        </w:tc>
        <w:tc>
          <w:tcPr>
            <w:tcW w:w="1473" w:type="dxa"/>
            <w:tcBorders>
              <w:bottom w:val="single" w:sz="4"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 </w:t>
            </w:r>
          </w:p>
        </w:tc>
        <w:tc>
          <w:tcPr>
            <w:tcW w:w="1474" w:type="dxa"/>
            <w:tcBorders>
              <w:bottom w:val="single" w:sz="4"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Notes Payable</w:t>
            </w:r>
          </w:p>
        </w:tc>
        <w:tc>
          <w:tcPr>
            <w:tcW w:w="1473" w:type="dxa"/>
            <w:gridSpan w:val="2"/>
            <w:tcBorders>
              <w:bottom w:val="single" w:sz="4" w:space="0" w:color="000000"/>
              <w:right w:val="double" w:sz="1"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 </w:t>
            </w:r>
          </w:p>
        </w:tc>
        <w:tc>
          <w:tcPr>
            <w:tcW w:w="1473" w:type="dxa"/>
            <w:gridSpan w:val="3"/>
            <w:tcBorders>
              <w:bottom w:val="single" w:sz="4" w:space="0" w:color="000000"/>
              <w:right w:val="double" w:sz="1"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 </w:t>
            </w:r>
          </w:p>
        </w:tc>
        <w:tc>
          <w:tcPr>
            <w:tcW w:w="1473" w:type="dxa"/>
            <w:tcBorders>
              <w:bottom w:val="single" w:sz="4" w:space="0" w:color="000000"/>
              <w:right w:val="double" w:sz="1" w:space="0" w:color="000000"/>
            </w:tcBorders>
            <w:shd w:val="clear" w:color="auto" w:fill="FFFFFF"/>
            <w:vAlign w:val="center"/>
          </w:tcPr>
          <w:p w:rsidR="009713E5" w:rsidRDefault="009713E5" w:rsidP="00DB7A9B">
            <w:pPr>
              <w:rPr>
                <w:rFonts w:ascii="Arial" w:hAnsi="Arial" w:cs="Arial"/>
                <w:bCs/>
                <w:sz w:val="20"/>
                <w:szCs w:val="20"/>
              </w:rPr>
            </w:pPr>
            <w:r>
              <w:rPr>
                <w:rFonts w:ascii="Arial" w:hAnsi="Arial" w:cs="Arial"/>
                <w:bCs/>
                <w:sz w:val="20"/>
                <w:szCs w:val="20"/>
              </w:rPr>
              <w:t xml:space="preserve">                6,000 </w:t>
            </w:r>
          </w:p>
        </w:tc>
      </w:tr>
      <w:tr w:rsidR="009713E5" w:rsidTr="00DB7A9B">
        <w:trPr>
          <w:gridAfter w:val="2"/>
          <w:wAfter w:w="2053" w:type="dxa"/>
          <w:trHeight w:val="240"/>
        </w:trPr>
        <w:tc>
          <w:tcPr>
            <w:tcW w:w="629" w:type="dxa"/>
            <w:tcBorders>
              <w:left w:val="double" w:sz="1" w:space="0" w:color="000000"/>
              <w:bottom w:val="single" w:sz="4" w:space="0" w:color="000000"/>
              <w:right w:val="single" w:sz="4"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w:t>
            </w:r>
          </w:p>
        </w:tc>
        <w:tc>
          <w:tcPr>
            <w:tcW w:w="436" w:type="dxa"/>
            <w:tcBorders>
              <w:bottom w:val="single" w:sz="4" w:space="0" w:color="000000"/>
              <w:right w:val="single" w:sz="4"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xml:space="preserve"> </w:t>
            </w:r>
          </w:p>
        </w:tc>
        <w:tc>
          <w:tcPr>
            <w:tcW w:w="5025" w:type="dxa"/>
            <w:gridSpan w:val="5"/>
            <w:tcBorders>
              <w:top w:val="single" w:sz="4" w:space="0" w:color="000000"/>
              <w:left w:val="single" w:sz="4" w:space="0" w:color="000000"/>
              <w:bottom w:val="single" w:sz="4" w:space="0" w:color="000000"/>
              <w:right w:val="double" w:sz="1"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Acquired new computer system by trading in old</w:t>
            </w:r>
          </w:p>
        </w:tc>
        <w:tc>
          <w:tcPr>
            <w:tcW w:w="2168" w:type="dxa"/>
            <w:gridSpan w:val="2"/>
            <w:tcBorders>
              <w:bottom w:val="single" w:sz="4" w:space="0" w:color="000000"/>
              <w:right w:val="double" w:sz="1"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xml:space="preserve">   </w:t>
            </w:r>
          </w:p>
        </w:tc>
        <w:tc>
          <w:tcPr>
            <w:tcW w:w="1" w:type="dxa"/>
            <w:tcBorders>
              <w:bottom w:val="single" w:sz="4" w:space="0" w:color="000000"/>
              <w:right w:val="double" w:sz="1"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xml:space="preserve">   </w:t>
            </w:r>
          </w:p>
        </w:tc>
      </w:tr>
      <w:tr w:rsidR="009713E5" w:rsidTr="00DB7A9B">
        <w:trPr>
          <w:gridAfter w:val="2"/>
          <w:wAfter w:w="2053" w:type="dxa"/>
          <w:trHeight w:val="240"/>
        </w:trPr>
        <w:tc>
          <w:tcPr>
            <w:tcW w:w="629" w:type="dxa"/>
            <w:tcBorders>
              <w:left w:val="double" w:sz="1" w:space="0" w:color="000000"/>
              <w:bottom w:val="single" w:sz="4" w:space="0" w:color="000000"/>
              <w:right w:val="single" w:sz="4"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w:t>
            </w:r>
          </w:p>
        </w:tc>
        <w:tc>
          <w:tcPr>
            <w:tcW w:w="436" w:type="dxa"/>
            <w:tcBorders>
              <w:bottom w:val="single" w:sz="4" w:space="0" w:color="000000"/>
              <w:right w:val="single" w:sz="4"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xml:space="preserve"> </w:t>
            </w:r>
          </w:p>
        </w:tc>
        <w:tc>
          <w:tcPr>
            <w:tcW w:w="5025" w:type="dxa"/>
            <w:gridSpan w:val="5"/>
            <w:tcBorders>
              <w:top w:val="single" w:sz="4" w:space="0" w:color="000000"/>
              <w:left w:val="single" w:sz="4" w:space="0" w:color="000000"/>
              <w:bottom w:val="single" w:sz="4" w:space="0" w:color="000000"/>
              <w:right w:val="double" w:sz="1"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computer, paying part cash, and issuing a 1-year,</w:t>
            </w:r>
          </w:p>
        </w:tc>
        <w:tc>
          <w:tcPr>
            <w:tcW w:w="2168" w:type="dxa"/>
            <w:gridSpan w:val="2"/>
            <w:tcBorders>
              <w:bottom w:val="single" w:sz="4" w:space="0" w:color="000000"/>
              <w:right w:val="double" w:sz="1"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w:t>
            </w:r>
          </w:p>
        </w:tc>
        <w:tc>
          <w:tcPr>
            <w:tcW w:w="1" w:type="dxa"/>
            <w:tcBorders>
              <w:bottom w:val="single" w:sz="4" w:space="0" w:color="000000"/>
              <w:right w:val="double" w:sz="1"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xml:space="preserve">   </w:t>
            </w:r>
          </w:p>
        </w:tc>
      </w:tr>
      <w:tr w:rsidR="009713E5" w:rsidTr="00DB7A9B">
        <w:trPr>
          <w:gridAfter w:val="2"/>
          <w:wAfter w:w="2053" w:type="dxa"/>
          <w:trHeight w:val="240"/>
        </w:trPr>
        <w:tc>
          <w:tcPr>
            <w:tcW w:w="629" w:type="dxa"/>
            <w:tcBorders>
              <w:left w:val="double" w:sz="1" w:space="0" w:color="000000"/>
              <w:bottom w:val="single" w:sz="4" w:space="0" w:color="000000"/>
              <w:right w:val="single" w:sz="4"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w:t>
            </w:r>
          </w:p>
        </w:tc>
        <w:tc>
          <w:tcPr>
            <w:tcW w:w="436" w:type="dxa"/>
            <w:tcBorders>
              <w:bottom w:val="single" w:sz="4" w:space="0" w:color="000000"/>
              <w:right w:val="single" w:sz="4"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xml:space="preserve"> </w:t>
            </w:r>
          </w:p>
        </w:tc>
        <w:tc>
          <w:tcPr>
            <w:tcW w:w="5025" w:type="dxa"/>
            <w:gridSpan w:val="5"/>
            <w:tcBorders>
              <w:top w:val="single" w:sz="4" w:space="0" w:color="000000"/>
              <w:left w:val="single" w:sz="4" w:space="0" w:color="000000"/>
              <w:bottom w:val="single" w:sz="4" w:space="0" w:color="000000"/>
              <w:right w:val="double" w:sz="1" w:space="0" w:color="000000"/>
            </w:tcBorders>
            <w:shd w:val="clear" w:color="auto" w:fill="FFFFFF"/>
            <w:vAlign w:val="center"/>
          </w:tcPr>
          <w:p w:rsidR="009713E5" w:rsidRDefault="009713E5" w:rsidP="00DB7A9B">
            <w:pPr>
              <w:rPr>
                <w:rFonts w:ascii="Arial" w:hAnsi="Arial" w:cs="Arial"/>
                <w:b/>
                <w:bCs/>
                <w:sz w:val="18"/>
                <w:szCs w:val="18"/>
              </w:rPr>
            </w:pPr>
            <w:r>
              <w:rPr>
                <w:rFonts w:ascii="Arial" w:hAnsi="Arial" w:cs="Arial"/>
                <w:b/>
                <w:bCs/>
                <w:sz w:val="18"/>
                <w:szCs w:val="18"/>
              </w:rPr>
              <w:t>8% note payable. Recognized loss equal to book value of old computer ($4,000) minus trade-in allowance ($500) or debit cash $500 for trade-in allowance and record loss of $3,000.</w:t>
            </w:r>
          </w:p>
          <w:p w:rsidR="009713E5" w:rsidRDefault="009713E5" w:rsidP="00DB7A9B">
            <w:pPr>
              <w:rPr>
                <w:rFonts w:ascii="Arial" w:hAnsi="Arial" w:cs="Arial"/>
                <w:b/>
                <w:bCs/>
                <w:sz w:val="18"/>
                <w:szCs w:val="18"/>
              </w:rPr>
            </w:pPr>
          </w:p>
          <w:p w:rsidR="009713E5" w:rsidRDefault="009713E5" w:rsidP="00DB7A9B">
            <w:pPr>
              <w:rPr>
                <w:rFonts w:ascii="Arial" w:hAnsi="Arial" w:cs="Arial"/>
                <w:b/>
                <w:bCs/>
                <w:sz w:val="18"/>
                <w:szCs w:val="18"/>
              </w:rPr>
            </w:pPr>
          </w:p>
        </w:tc>
        <w:tc>
          <w:tcPr>
            <w:tcW w:w="2168" w:type="dxa"/>
            <w:gridSpan w:val="2"/>
            <w:tcBorders>
              <w:bottom w:val="single" w:sz="4" w:space="0" w:color="000000"/>
              <w:right w:val="double" w:sz="1"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w:t>
            </w:r>
          </w:p>
        </w:tc>
        <w:tc>
          <w:tcPr>
            <w:tcW w:w="1" w:type="dxa"/>
            <w:tcBorders>
              <w:bottom w:val="single" w:sz="4" w:space="0" w:color="000000"/>
              <w:right w:val="double" w:sz="1" w:space="0" w:color="000000"/>
            </w:tcBorders>
            <w:shd w:val="clear" w:color="auto" w:fill="FFFFFF"/>
            <w:vAlign w:val="center"/>
          </w:tcPr>
          <w:p w:rsidR="009713E5" w:rsidRDefault="009713E5" w:rsidP="00DB7A9B">
            <w:pPr>
              <w:rPr>
                <w:rFonts w:ascii="Arial" w:hAnsi="Arial" w:cs="Arial"/>
                <w:b/>
                <w:bCs/>
                <w:sz w:val="20"/>
                <w:szCs w:val="20"/>
              </w:rPr>
            </w:pPr>
            <w:r>
              <w:rPr>
                <w:rFonts w:ascii="Arial" w:hAnsi="Arial" w:cs="Arial"/>
                <w:b/>
                <w:bCs/>
                <w:sz w:val="20"/>
                <w:szCs w:val="20"/>
              </w:rPr>
              <w:t xml:space="preserve">   </w:t>
            </w:r>
          </w:p>
        </w:tc>
      </w:tr>
    </w:tbl>
    <w:p w:rsidR="009713E5" w:rsidRDefault="009713E5" w:rsidP="009713E5">
      <w:pPr>
        <w:pStyle w:val="ListParagraph"/>
        <w:jc w:val="both"/>
      </w:pPr>
    </w:p>
    <w:tbl>
      <w:tblPr>
        <w:tblW w:w="0" w:type="auto"/>
        <w:tblLayout w:type="fixed"/>
        <w:tblLook w:val="0000" w:firstRow="0" w:lastRow="0" w:firstColumn="0" w:lastColumn="0" w:noHBand="0" w:noVBand="0"/>
      </w:tblPr>
      <w:tblGrid>
        <w:gridCol w:w="9140"/>
      </w:tblGrid>
      <w:tr w:rsidR="009713E5" w:rsidTr="00DB7A9B">
        <w:trPr>
          <w:trHeight w:val="414"/>
        </w:trPr>
        <w:tc>
          <w:tcPr>
            <w:tcW w:w="9140" w:type="dxa"/>
            <w:vMerge w:val="restart"/>
            <w:shd w:val="clear" w:color="auto" w:fill="FFFFFF"/>
          </w:tcPr>
          <w:p w:rsidR="009713E5" w:rsidRDefault="009713E5" w:rsidP="00DB7A9B">
            <w:pPr>
              <w:pageBreakBefore/>
              <w:spacing w:line="360" w:lineRule="auto"/>
              <w:rPr>
                <w:bCs/>
              </w:rPr>
            </w:pPr>
            <w:r>
              <w:lastRenderedPageBreak/>
              <w:t xml:space="preserve">b. </w:t>
            </w:r>
            <w:r>
              <w:rPr>
                <w:bCs/>
              </w:rPr>
              <w:t>(2 marks)</w:t>
            </w:r>
          </w:p>
          <w:p w:rsidR="009713E5" w:rsidRDefault="009713E5" w:rsidP="00DB7A9B">
            <w:pPr>
              <w:spacing w:line="360" w:lineRule="auto"/>
              <w:rPr>
                <w:bCs/>
              </w:rPr>
            </w:pPr>
            <w:r>
              <w:rPr>
                <w:bCs/>
              </w:rPr>
              <w:t xml:space="preserve">Gains and losses on asset disposals do not affect gross profit because they are not part of the cost of goods sold(gross profit=net sales-COGS). Such gains and losses do, however, affect net income reported in a firm’s income statement (non-operating). </w:t>
            </w:r>
          </w:p>
        </w:tc>
      </w:tr>
      <w:tr w:rsidR="009713E5" w:rsidTr="00DB7A9B">
        <w:trPr>
          <w:trHeight w:val="414"/>
        </w:trPr>
        <w:tc>
          <w:tcPr>
            <w:tcW w:w="9140" w:type="dxa"/>
            <w:vMerge/>
            <w:shd w:val="clear" w:color="auto" w:fill="auto"/>
            <w:vAlign w:val="center"/>
          </w:tcPr>
          <w:p w:rsidR="009713E5" w:rsidRDefault="009713E5" w:rsidP="00DB7A9B">
            <w:pPr>
              <w:spacing w:line="360" w:lineRule="auto"/>
              <w:rPr>
                <w:bCs/>
              </w:rPr>
            </w:pPr>
          </w:p>
        </w:tc>
      </w:tr>
    </w:tbl>
    <w:p w:rsidR="009713E5" w:rsidRDefault="009713E5" w:rsidP="009713E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360" w:lineRule="auto"/>
        <w:ind w:left="720"/>
        <w:rPr>
          <w:rFonts w:cs="Times New Roman"/>
        </w:rPr>
      </w:pPr>
    </w:p>
    <w:p w:rsidR="009713E5" w:rsidRDefault="009713E5" w:rsidP="009713E5">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360" w:lineRule="auto"/>
        <w:rPr>
          <w:rFonts w:cs="Times New Roman"/>
        </w:rPr>
      </w:pPr>
      <w:r>
        <w:rPr>
          <w:rFonts w:cs="Times New Roman"/>
        </w:rPr>
        <w:t>(3 marks, each part 1.5 marks)</w:t>
      </w:r>
    </w:p>
    <w:p w:rsidR="009713E5" w:rsidRDefault="009713E5" w:rsidP="009713E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360" w:lineRule="auto"/>
        <w:rPr>
          <w:rFonts w:cs="Times New Roman"/>
        </w:rPr>
      </w:pPr>
    </w:p>
    <w:p w:rsidR="009713E5" w:rsidRDefault="009713E5" w:rsidP="009713E5">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360" w:lineRule="auto"/>
        <w:rPr>
          <w:rFonts w:cs="Times New Roman"/>
        </w:rPr>
      </w:pPr>
      <w:r>
        <w:rPr>
          <w:rFonts w:cs="Times New Roman"/>
        </w:rPr>
        <w:t>a. The current ratio (2.1:1 i.e. CA/CL = 126000/60000)</w:t>
      </w:r>
    </w:p>
    <w:p w:rsidR="009713E5" w:rsidRDefault="009713E5" w:rsidP="009713E5">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line="360" w:lineRule="auto"/>
        <w:rPr>
          <w:rFonts w:cs="Times New Roman"/>
        </w:rPr>
      </w:pPr>
      <w:r>
        <w:rPr>
          <w:rFonts w:cs="Times New Roman"/>
        </w:rPr>
        <w:t>The quick ratio (0.67:1 i.e. (cash + temporary investments + accounts receivable) / current liabilities = (10000+0+30000)/60000)</w:t>
      </w:r>
    </w:p>
    <w:p w:rsidR="009713E5" w:rsidRDefault="009713E5" w:rsidP="009713E5">
      <w:pPr>
        <w:spacing w:line="360" w:lineRule="auto"/>
      </w:pPr>
    </w:p>
    <w:p w:rsidR="009713E5" w:rsidRDefault="009713E5" w:rsidP="009713E5">
      <w:pPr>
        <w:spacing w:line="360" w:lineRule="auto"/>
      </w:pPr>
    </w:p>
    <w:p w:rsidR="009713E5" w:rsidRDefault="009713E5" w:rsidP="009713E5">
      <w:pPr>
        <w:pStyle w:val="ListParagraph"/>
        <w:numPr>
          <w:ilvl w:val="0"/>
          <w:numId w:val="3"/>
        </w:numPr>
        <w:spacing w:line="360" w:lineRule="auto"/>
      </w:pPr>
      <w:r>
        <w:t>What is inventory turnover ratio? (1 mark)</w:t>
      </w:r>
    </w:p>
    <w:p w:rsidR="009713E5" w:rsidRDefault="009713E5" w:rsidP="009713E5">
      <w:pPr>
        <w:spacing w:line="360" w:lineRule="auto"/>
        <w:ind w:left="360"/>
      </w:pPr>
      <w:r>
        <w:t>Inventory turnover measures how quickly a company is moving inventory off the shelves to customers. It indicates how many times, during the course of a quarter or year, a company sells and replaces its inventory of component parts, materials and final products.</w:t>
      </w:r>
    </w:p>
    <w:p w:rsidR="009713E5" w:rsidRDefault="009713E5" w:rsidP="009713E5">
      <w:pPr>
        <w:spacing w:line="360" w:lineRule="auto"/>
      </w:pPr>
    </w:p>
    <w:p w:rsidR="009713E5" w:rsidRDefault="009713E5" w:rsidP="009713E5">
      <w:pPr>
        <w:pStyle w:val="ListParagraph"/>
        <w:numPr>
          <w:ilvl w:val="0"/>
          <w:numId w:val="3"/>
        </w:numPr>
        <w:spacing w:line="360" w:lineRule="auto"/>
      </w:pPr>
      <w:r>
        <w:t>Compute: Inventory turnover ratio for the year (1 mark) (COGS/average inventory = 525000/100000=5 (or 4.77 if 110000 is used))</w:t>
      </w:r>
    </w:p>
    <w:p w:rsidR="009713E5" w:rsidRDefault="009713E5" w:rsidP="009713E5">
      <w:pPr>
        <w:pStyle w:val="ListParagraph"/>
        <w:spacing w:line="360" w:lineRule="auto"/>
      </w:pPr>
    </w:p>
    <w:p w:rsidR="009713E5" w:rsidRDefault="009713E5" w:rsidP="009713E5">
      <w:pPr>
        <w:pStyle w:val="ListParagraph"/>
        <w:spacing w:line="360" w:lineRule="auto"/>
      </w:pPr>
    </w:p>
    <w:p w:rsidR="009713E5" w:rsidRDefault="009713E5" w:rsidP="009713E5">
      <w:pPr>
        <w:pStyle w:val="ListParagraph"/>
        <w:spacing w:line="360" w:lineRule="auto"/>
      </w:pPr>
    </w:p>
    <w:p w:rsidR="009713E5" w:rsidRDefault="009713E5" w:rsidP="009713E5">
      <w:pPr>
        <w:pStyle w:val="ListParagraph"/>
        <w:numPr>
          <w:ilvl w:val="0"/>
          <w:numId w:val="3"/>
        </w:numPr>
        <w:spacing w:line="360" w:lineRule="auto"/>
      </w:pPr>
      <w:r>
        <w:t>Analyze the position of XYZ company given that ABC company, XYZ’s only competitor, has an inventory turnover of 6. (2 marks)</w:t>
      </w:r>
    </w:p>
    <w:p w:rsidR="009713E5" w:rsidRDefault="009713E5" w:rsidP="009713E5">
      <w:pPr>
        <w:spacing w:line="360" w:lineRule="auto"/>
        <w:ind w:left="360"/>
      </w:pPr>
    </w:p>
    <w:p w:rsidR="009713E5" w:rsidRDefault="009713E5" w:rsidP="009713E5">
      <w:pPr>
        <w:spacing w:line="360" w:lineRule="auto"/>
      </w:pPr>
      <w:r>
        <w:t>ABC is doing better than XYZ company. It’s selling more inventory to customers. It has more efficient operations than XYZ company or something along those lines.</w:t>
      </w:r>
    </w:p>
    <w:p w:rsidR="009713E5" w:rsidRDefault="009713E5" w:rsidP="009713E5">
      <w:pPr>
        <w:spacing w:line="360" w:lineRule="auto"/>
      </w:pPr>
    </w:p>
    <w:p w:rsidR="009713E5" w:rsidRDefault="009713E5" w:rsidP="009713E5">
      <w:pPr>
        <w:pStyle w:val="ListParagraph"/>
        <w:numPr>
          <w:ilvl w:val="0"/>
          <w:numId w:val="3"/>
        </w:numPr>
        <w:spacing w:line="360" w:lineRule="auto"/>
      </w:pPr>
      <w:r>
        <w:t>Compute: Accounts Receivable turnover ratio (1 mark) ((credit sales/ accounts receivable = 830000/83000=9.65 or 9.82 if 84500 is used)</w:t>
      </w:r>
    </w:p>
    <w:p w:rsidR="009713E5" w:rsidRDefault="009713E5" w:rsidP="009713E5">
      <w:pPr>
        <w:pStyle w:val="ListParagraph"/>
        <w:spacing w:line="360" w:lineRule="auto"/>
      </w:pPr>
    </w:p>
    <w:p w:rsidR="009713E5" w:rsidRDefault="009713E5" w:rsidP="009713E5">
      <w:pPr>
        <w:pStyle w:val="ListParagraph"/>
        <w:numPr>
          <w:ilvl w:val="0"/>
          <w:numId w:val="3"/>
        </w:numPr>
        <w:spacing w:line="360" w:lineRule="auto"/>
      </w:pPr>
      <w:r>
        <w:t>On average, how many days of sales were in Accounts Receivable during the year (1 mark) (365/accounts receivable turnover = 365/9.65=37.8 or 37.2 days)</w:t>
      </w:r>
    </w:p>
    <w:p w:rsidR="009713E5" w:rsidRDefault="009713E5" w:rsidP="009713E5">
      <w:pPr>
        <w:spacing w:line="360" w:lineRule="auto"/>
      </w:pPr>
    </w:p>
    <w:p w:rsidR="009713E5" w:rsidRDefault="009713E5" w:rsidP="009713E5">
      <w:pPr>
        <w:pStyle w:val="ListParagraph"/>
        <w:numPr>
          <w:ilvl w:val="0"/>
          <w:numId w:val="2"/>
        </w:numPr>
        <w:spacing w:line="360" w:lineRule="auto"/>
      </w:pPr>
      <w:r>
        <w:t>(3 marks, 1 mark each entry: all accounts in an entry should be correct otherwise zero mark)</w:t>
      </w:r>
    </w:p>
    <w:p w:rsidR="009713E5" w:rsidRDefault="009713E5" w:rsidP="009713E5">
      <w:pPr>
        <w:spacing w:line="360" w:lineRule="auto"/>
      </w:pPr>
      <w:r>
        <w:t>a. Oct. 3: Issued 1,400 shares to three investors who contributed a total amount of 10,000 in cash as well as a piece of equipment valued at $ 6,000</w:t>
      </w:r>
    </w:p>
    <w:p w:rsidR="009713E5" w:rsidRDefault="009713E5" w:rsidP="009713E5">
      <w:pPr>
        <w:pStyle w:val="ListParagraph"/>
        <w:spacing w:line="360" w:lineRule="auto"/>
        <w:ind w:left="2160"/>
      </w:pPr>
    </w:p>
    <w:p w:rsidR="009713E5" w:rsidRDefault="009713E5" w:rsidP="009713E5">
      <w:pPr>
        <w:spacing w:line="360" w:lineRule="auto"/>
        <w:ind w:left="1980" w:firstLine="180"/>
      </w:pPr>
      <w:r>
        <w:t xml:space="preserve">Cash </w:t>
      </w:r>
      <w:r>
        <w:tab/>
      </w:r>
      <w:r>
        <w:tab/>
      </w:r>
      <w:r>
        <w:tab/>
        <w:t>10,000</w:t>
      </w:r>
    </w:p>
    <w:p w:rsidR="009713E5" w:rsidRDefault="009713E5" w:rsidP="009713E5">
      <w:pPr>
        <w:pStyle w:val="ListParagraph"/>
        <w:spacing w:line="360" w:lineRule="auto"/>
        <w:ind w:left="2160"/>
      </w:pPr>
      <w:r>
        <w:t>Equipment</w:t>
      </w:r>
      <w:r>
        <w:tab/>
      </w:r>
      <w:r>
        <w:tab/>
        <w:t xml:space="preserve"> 6,000</w:t>
      </w:r>
    </w:p>
    <w:p w:rsidR="009713E5" w:rsidRDefault="009713E5" w:rsidP="009713E5">
      <w:pPr>
        <w:pStyle w:val="ListParagraph"/>
        <w:spacing w:line="360" w:lineRule="auto"/>
        <w:ind w:left="2160"/>
      </w:pPr>
      <w:r>
        <w:tab/>
        <w:t>Share Capital</w:t>
      </w:r>
      <w:r>
        <w:tab/>
      </w:r>
      <w:r>
        <w:tab/>
        <w:t>16,000</w:t>
      </w:r>
    </w:p>
    <w:p w:rsidR="009713E5" w:rsidRDefault="009713E5" w:rsidP="009713E5">
      <w:pPr>
        <w:pStyle w:val="ListParagraph"/>
        <w:numPr>
          <w:ilvl w:val="0"/>
          <w:numId w:val="4"/>
        </w:numPr>
        <w:spacing w:line="360" w:lineRule="auto"/>
      </w:pPr>
      <w:r>
        <w:t>Dec 1: Paid $20,000 in advance for a one-year lease starting from this date</w:t>
      </w:r>
    </w:p>
    <w:p w:rsidR="009713E5" w:rsidRDefault="009713E5" w:rsidP="009713E5">
      <w:pPr>
        <w:pStyle w:val="ListParagraph"/>
        <w:spacing w:line="360" w:lineRule="auto"/>
        <w:ind w:left="2160"/>
      </w:pPr>
      <w:r>
        <w:t>Prepaid rent</w:t>
      </w:r>
      <w:r>
        <w:tab/>
      </w:r>
      <w:r>
        <w:tab/>
        <w:t>20,000</w:t>
      </w:r>
    </w:p>
    <w:p w:rsidR="009713E5" w:rsidRDefault="009713E5" w:rsidP="009713E5">
      <w:pPr>
        <w:pStyle w:val="ListParagraph"/>
        <w:spacing w:line="360" w:lineRule="auto"/>
        <w:ind w:left="2880"/>
      </w:pPr>
      <w:r>
        <w:t xml:space="preserve">Cash </w:t>
      </w:r>
      <w:r>
        <w:tab/>
      </w:r>
      <w:r>
        <w:tab/>
      </w:r>
      <w:r>
        <w:tab/>
        <w:t>20,000</w:t>
      </w:r>
    </w:p>
    <w:p w:rsidR="009713E5" w:rsidRDefault="009713E5" w:rsidP="009713E5">
      <w:pPr>
        <w:pStyle w:val="ListParagraph"/>
        <w:numPr>
          <w:ilvl w:val="0"/>
          <w:numId w:val="4"/>
        </w:numPr>
        <w:spacing w:line="360" w:lineRule="auto"/>
      </w:pPr>
      <w:r>
        <w:t>Dec 20: Received $40,000 in advance from a new client for services that had not yet been started. As at December 31, 2011, it was estimated that 50% of the services had been completed.</w:t>
      </w:r>
    </w:p>
    <w:p w:rsidR="009713E5" w:rsidRDefault="009713E5" w:rsidP="009713E5">
      <w:pPr>
        <w:pStyle w:val="ListParagraph"/>
        <w:spacing w:line="360" w:lineRule="auto"/>
        <w:ind w:left="2160"/>
      </w:pPr>
      <w:r>
        <w:t>Cash</w:t>
      </w:r>
      <w:r>
        <w:tab/>
      </w:r>
      <w:r>
        <w:tab/>
      </w:r>
      <w:r>
        <w:tab/>
        <w:t>40,000</w:t>
      </w:r>
    </w:p>
    <w:p w:rsidR="009713E5" w:rsidRDefault="009713E5" w:rsidP="009713E5">
      <w:pPr>
        <w:pStyle w:val="ListParagraph"/>
        <w:spacing w:line="360" w:lineRule="auto"/>
        <w:ind w:left="2880"/>
      </w:pPr>
      <w:r>
        <w:t>Deferred Revenue (unearned)</w:t>
      </w:r>
      <w:r>
        <w:tab/>
        <w:t>40000</w:t>
      </w:r>
    </w:p>
    <w:p w:rsidR="009713E5" w:rsidRDefault="009713E5" w:rsidP="009713E5">
      <w:pPr>
        <w:pStyle w:val="ListParagraph"/>
        <w:numPr>
          <w:ilvl w:val="0"/>
          <w:numId w:val="2"/>
        </w:numPr>
        <w:spacing w:line="360" w:lineRule="auto"/>
      </w:pPr>
      <w:r>
        <w:t xml:space="preserve">Revenue recognition is An accounting principle under generally accepted accounting principles (GAAP) that determines the specific conditions under which income becomes realized as revenue. </w:t>
      </w:r>
    </w:p>
    <w:p w:rsidR="009713E5" w:rsidRDefault="009713E5" w:rsidP="009713E5">
      <w:pPr>
        <w:spacing w:line="360" w:lineRule="auto"/>
        <w:ind w:firstLine="360"/>
      </w:pPr>
    </w:p>
    <w:p w:rsidR="009713E5" w:rsidRDefault="009713E5" w:rsidP="009713E5">
      <w:pPr>
        <w:spacing w:line="360" w:lineRule="auto"/>
        <w:ind w:firstLine="360"/>
      </w:pPr>
    </w:p>
    <w:p w:rsidR="009713E5" w:rsidRDefault="009713E5" w:rsidP="009713E5">
      <w:pPr>
        <w:spacing w:line="360" w:lineRule="auto"/>
        <w:ind w:firstLine="360"/>
      </w:pPr>
    </w:p>
    <w:p w:rsidR="009713E5" w:rsidRDefault="009713E5" w:rsidP="009713E5">
      <w:pPr>
        <w:spacing w:line="360" w:lineRule="auto"/>
        <w:ind w:firstLine="360"/>
        <w:rPr>
          <w:lang w:val="en-CA"/>
        </w:rPr>
      </w:pPr>
      <w:r>
        <w:rPr>
          <w:lang w:val="en-CA"/>
        </w:rPr>
        <w:t>9. (4 marks)</w:t>
      </w:r>
    </w:p>
    <w:p w:rsidR="009713E5" w:rsidRDefault="009713E5" w:rsidP="009713E5">
      <w:pPr>
        <w:spacing w:line="360" w:lineRule="auto"/>
        <w:ind w:firstLine="360"/>
        <w:rPr>
          <w:lang w:val="en-CA"/>
        </w:rPr>
      </w:pPr>
    </w:p>
    <w:p w:rsidR="009713E5" w:rsidRDefault="009713E5" w:rsidP="009713E5">
      <w:pPr>
        <w:spacing w:line="360" w:lineRule="auto"/>
        <w:ind w:firstLine="360"/>
        <w:rPr>
          <w:lang w:val="en-CA"/>
        </w:rPr>
      </w:pPr>
      <w:r>
        <w:rPr>
          <w:lang w:val="en-CA"/>
        </w:rPr>
        <w:t>1.</w:t>
      </w:r>
      <w:r>
        <w:rPr>
          <w:lang w:val="en-CA"/>
        </w:rPr>
        <w:tab/>
        <w:t>c</w:t>
      </w:r>
      <w:r>
        <w:rPr>
          <w:lang w:val="en-CA"/>
        </w:rPr>
        <w:tab/>
        <w:t>4.</w:t>
      </w:r>
      <w:r>
        <w:rPr>
          <w:lang w:val="en-CA"/>
        </w:rPr>
        <w:tab/>
        <w:t>d</w:t>
      </w:r>
      <w:r>
        <w:rPr>
          <w:lang w:val="en-CA"/>
        </w:rPr>
        <w:tab/>
        <w:t>7.</w:t>
      </w:r>
      <w:r>
        <w:rPr>
          <w:lang w:val="en-CA"/>
        </w:rPr>
        <w:tab/>
        <w:t>a</w:t>
      </w:r>
      <w:r>
        <w:rPr>
          <w:lang w:val="en-CA"/>
        </w:rPr>
        <w:tab/>
      </w:r>
    </w:p>
    <w:p w:rsidR="009713E5" w:rsidRDefault="009713E5" w:rsidP="009713E5">
      <w:pPr>
        <w:spacing w:line="360" w:lineRule="auto"/>
        <w:ind w:firstLine="360"/>
        <w:rPr>
          <w:lang w:val="en-CA"/>
        </w:rPr>
      </w:pPr>
      <w:r>
        <w:rPr>
          <w:lang w:val="en-CA"/>
        </w:rPr>
        <w:t>2.</w:t>
      </w:r>
      <w:r>
        <w:rPr>
          <w:lang w:val="en-CA"/>
        </w:rPr>
        <w:tab/>
        <w:t>c</w:t>
      </w:r>
      <w:r>
        <w:rPr>
          <w:lang w:val="en-CA"/>
        </w:rPr>
        <w:tab/>
        <w:t>5.</w:t>
      </w:r>
      <w:r>
        <w:rPr>
          <w:lang w:val="en-CA"/>
        </w:rPr>
        <w:tab/>
        <w:t>d</w:t>
      </w:r>
      <w:r>
        <w:rPr>
          <w:lang w:val="en-CA"/>
        </w:rPr>
        <w:tab/>
        <w:t>8.</w:t>
      </w:r>
      <w:r>
        <w:rPr>
          <w:lang w:val="en-CA"/>
        </w:rPr>
        <w:tab/>
        <w:t>c</w:t>
      </w:r>
      <w:r>
        <w:rPr>
          <w:lang w:val="en-CA"/>
        </w:rPr>
        <w:tab/>
      </w:r>
    </w:p>
    <w:p w:rsidR="009713E5" w:rsidRDefault="009713E5" w:rsidP="009713E5">
      <w:pPr>
        <w:spacing w:line="360" w:lineRule="auto"/>
        <w:ind w:firstLine="360"/>
        <w:rPr>
          <w:lang w:val="en-CA"/>
        </w:rPr>
      </w:pPr>
      <w:r>
        <w:rPr>
          <w:lang w:val="en-CA"/>
        </w:rPr>
        <w:t>3.</w:t>
      </w:r>
      <w:r>
        <w:rPr>
          <w:lang w:val="en-CA"/>
        </w:rPr>
        <w:tab/>
        <w:t>a</w:t>
      </w:r>
      <w:r>
        <w:rPr>
          <w:lang w:val="en-CA"/>
        </w:rPr>
        <w:tab/>
        <w:t>6.</w:t>
      </w:r>
      <w:r>
        <w:rPr>
          <w:lang w:val="en-CA"/>
        </w:rPr>
        <w:tab/>
        <w:t>b</w:t>
      </w:r>
      <w:r>
        <w:rPr>
          <w:lang w:val="en-CA"/>
        </w:rPr>
        <w:tab/>
      </w:r>
    </w:p>
    <w:p w:rsidR="009713E5" w:rsidRDefault="009713E5" w:rsidP="009713E5">
      <w:pPr>
        <w:spacing w:line="360" w:lineRule="auto"/>
        <w:ind w:firstLine="360"/>
      </w:pPr>
    </w:p>
    <w:p w:rsidR="009713E5" w:rsidRDefault="009713E5" w:rsidP="009713E5">
      <w:pPr>
        <w:spacing w:line="360" w:lineRule="auto"/>
        <w:ind w:firstLine="360"/>
      </w:pPr>
    </w:p>
    <w:p w:rsidR="009713E5" w:rsidRDefault="009713E5" w:rsidP="009713E5">
      <w:pPr>
        <w:spacing w:line="360" w:lineRule="auto"/>
        <w:ind w:firstLine="360"/>
      </w:pPr>
    </w:p>
    <w:p w:rsidR="009713E5" w:rsidRDefault="009713E5" w:rsidP="009713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b/>
          <w:u w:val="single"/>
        </w:rPr>
      </w:pPr>
      <w:r>
        <w:rPr>
          <w:rFonts w:cs="Times New Roman"/>
          <w:b/>
          <w:u w:val="single"/>
        </w:rPr>
        <w:t>Question 3 – Circle the best answer (18 marks)</w:t>
      </w:r>
    </w:p>
    <w:tbl>
      <w:tblPr>
        <w:tblW w:w="0" w:type="auto"/>
        <w:tblLayout w:type="fixed"/>
        <w:tblLook w:val="0000" w:firstRow="0" w:lastRow="0" w:firstColumn="0" w:lastColumn="0" w:noHBand="0" w:noVBand="0"/>
      </w:tblPr>
      <w:tblGrid>
        <w:gridCol w:w="1525"/>
        <w:gridCol w:w="1984"/>
      </w:tblGrid>
      <w:tr w:rsidR="009713E5" w:rsidTr="00DB7A9B">
        <w:trPr>
          <w:trHeight w:val="414"/>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Accrual</w:t>
            </w:r>
          </w:p>
        </w:tc>
      </w:tr>
      <w:tr w:rsidR="009713E5" w:rsidTr="00DB7A9B">
        <w:trPr>
          <w:trHeight w:val="414"/>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lastRenderedPageBreak/>
              <w:t xml:space="preserve">2.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Deferral</w:t>
            </w:r>
          </w:p>
        </w:tc>
      </w:tr>
      <w:tr w:rsidR="009713E5" w:rsidTr="00DB7A9B">
        <w:trPr>
          <w:trHeight w:val="414"/>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Deferral</w:t>
            </w:r>
          </w:p>
        </w:tc>
      </w:tr>
      <w:tr w:rsidR="009713E5" w:rsidTr="00DB7A9B">
        <w:trPr>
          <w:trHeight w:val="414"/>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False</w:t>
            </w:r>
          </w:p>
        </w:tc>
      </w:tr>
      <w:tr w:rsidR="009713E5" w:rsidTr="00DB7A9B">
        <w:trPr>
          <w:trHeight w:val="414"/>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False</w:t>
            </w:r>
          </w:p>
        </w:tc>
      </w:tr>
      <w:tr w:rsidR="009713E5" w:rsidTr="00DB7A9B">
        <w:trPr>
          <w:trHeight w:val="414"/>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True</w:t>
            </w:r>
          </w:p>
        </w:tc>
      </w:tr>
      <w:tr w:rsidR="009713E5" w:rsidTr="00DB7A9B">
        <w:trPr>
          <w:trHeight w:val="414"/>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 xml:space="preserve">7. </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False</w:t>
            </w:r>
          </w:p>
        </w:tc>
      </w:tr>
      <w:tr w:rsidR="009713E5" w:rsidTr="00DB7A9B">
        <w:trPr>
          <w:trHeight w:val="414"/>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True</w:t>
            </w:r>
          </w:p>
        </w:tc>
      </w:tr>
      <w:tr w:rsidR="009713E5" w:rsidTr="00DB7A9B">
        <w:trPr>
          <w:trHeight w:val="414"/>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9.</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False</w:t>
            </w:r>
          </w:p>
        </w:tc>
      </w:tr>
      <w:tr w:rsidR="009713E5" w:rsidTr="00DB7A9B">
        <w:trPr>
          <w:trHeight w:val="414"/>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10.</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False</w:t>
            </w:r>
          </w:p>
        </w:tc>
      </w:tr>
      <w:tr w:rsidR="009713E5" w:rsidTr="00DB7A9B">
        <w:trPr>
          <w:trHeight w:val="414"/>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11.</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False</w:t>
            </w:r>
          </w:p>
        </w:tc>
      </w:tr>
      <w:tr w:rsidR="009713E5" w:rsidTr="00DB7A9B">
        <w:trPr>
          <w:trHeight w:val="414"/>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12.</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False</w:t>
            </w:r>
          </w:p>
        </w:tc>
      </w:tr>
      <w:tr w:rsidR="009713E5" w:rsidTr="00DB7A9B">
        <w:trPr>
          <w:trHeight w:val="414"/>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13.</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True</w:t>
            </w:r>
          </w:p>
        </w:tc>
      </w:tr>
      <w:tr w:rsidR="009713E5" w:rsidTr="00DB7A9B">
        <w:trPr>
          <w:trHeight w:val="414"/>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14.</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False</w:t>
            </w:r>
          </w:p>
        </w:tc>
      </w:tr>
      <w:tr w:rsidR="009713E5" w:rsidTr="00DB7A9B">
        <w:trPr>
          <w:trHeight w:val="414"/>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15.</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True</w:t>
            </w:r>
          </w:p>
        </w:tc>
      </w:tr>
      <w:tr w:rsidR="009713E5" w:rsidTr="00DB7A9B">
        <w:trPr>
          <w:trHeight w:val="414"/>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16.</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Increase</w:t>
            </w:r>
          </w:p>
        </w:tc>
      </w:tr>
      <w:tr w:rsidR="009713E5" w:rsidTr="00DB7A9B">
        <w:trPr>
          <w:trHeight w:val="414"/>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17.</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Premium</w:t>
            </w:r>
          </w:p>
        </w:tc>
      </w:tr>
      <w:tr w:rsidR="009713E5" w:rsidTr="00DB7A9B">
        <w:trPr>
          <w:trHeight w:val="414"/>
        </w:trPr>
        <w:tc>
          <w:tcPr>
            <w:tcW w:w="1525"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18.</w:t>
            </w:r>
          </w:p>
        </w:tc>
        <w:tc>
          <w:tcPr>
            <w:tcW w:w="1984" w:type="dxa"/>
            <w:tcBorders>
              <w:top w:val="single" w:sz="4" w:space="0" w:color="000000"/>
              <w:left w:val="single" w:sz="4" w:space="0" w:color="000000"/>
              <w:bottom w:val="single" w:sz="4" w:space="0" w:color="000000"/>
              <w:right w:val="single" w:sz="4" w:space="0" w:color="000000"/>
            </w:tcBorders>
            <w:shd w:val="clear" w:color="auto" w:fill="auto"/>
          </w:tcPr>
          <w:p w:rsidR="009713E5" w:rsidRDefault="009713E5" w:rsidP="00DB7A9B">
            <w:pPr>
              <w:spacing w:line="100" w:lineRule="atLeast"/>
            </w:pPr>
            <w:r>
              <w:t>Discount</w:t>
            </w:r>
          </w:p>
        </w:tc>
      </w:tr>
    </w:tbl>
    <w:p w:rsidR="009713E5" w:rsidRDefault="009713E5" w:rsidP="009713E5">
      <w:pPr>
        <w:spacing w:line="360" w:lineRule="auto"/>
      </w:pPr>
    </w:p>
    <w:p w:rsidR="009713E5" w:rsidRDefault="009713E5" w:rsidP="009713E5">
      <w:pPr>
        <w:spacing w:line="360" w:lineRule="auto"/>
      </w:pPr>
    </w:p>
    <w:p w:rsidR="009713E5" w:rsidRDefault="009713E5" w:rsidP="009713E5">
      <w:pPr>
        <w:pStyle w:val="ListParagraph"/>
        <w:spacing w:line="360" w:lineRule="auto"/>
        <w:ind w:left="1440"/>
      </w:pPr>
    </w:p>
    <w:p w:rsidR="009713E5" w:rsidRDefault="009713E5" w:rsidP="009713E5">
      <w:pPr>
        <w:spacing w:line="360" w:lineRule="auto"/>
      </w:pPr>
    </w:p>
    <w:p w:rsidR="009713E5" w:rsidRDefault="009713E5" w:rsidP="009713E5">
      <w:pPr>
        <w:spacing w:line="360" w:lineRule="auto"/>
      </w:pPr>
      <w:r>
        <w:tab/>
      </w:r>
    </w:p>
    <w:p w:rsidR="0039560C" w:rsidRDefault="0039560C">
      <w:bookmarkStart w:id="0" w:name="_GoBack"/>
      <w:bookmarkEnd w:id="0"/>
    </w:p>
    <w:sectPr w:rsidR="0039560C">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2"/>
    <w:multiLevelType w:val="multilevel"/>
    <w:tmpl w:val="00000002"/>
    <w:name w:val="WWNum11"/>
    <w:lvl w:ilvl="0">
      <w:start w:val="2"/>
      <w:numFmt w:val="low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lef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lef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left"/>
      <w:pPr>
        <w:tabs>
          <w:tab w:val="num" w:pos="0"/>
        </w:tabs>
        <w:ind w:left="6840" w:hanging="180"/>
      </w:pPr>
    </w:lvl>
  </w:abstractNum>
  <w:abstractNum w:abstractNumId="2">
    <w:nsid w:val="00000003"/>
    <w:multiLevelType w:val="multilevel"/>
    <w:tmpl w:val="00000003"/>
    <w:name w:val="WWNum5"/>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4"/>
    <w:multiLevelType w:val="multilevel"/>
    <w:tmpl w:val="00000004"/>
    <w:name w:val="WWNum7"/>
    <w:lvl w:ilvl="0">
      <w:start w:val="2"/>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3E5"/>
    <w:rsid w:val="0004779F"/>
    <w:rsid w:val="0039560C"/>
    <w:rsid w:val="009713E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3E5"/>
    <w:pPr>
      <w:widowControl w:val="0"/>
      <w:suppressAutoHyphens/>
      <w:spacing w:after="0" w:line="240" w:lineRule="auto"/>
    </w:pPr>
    <w:rPr>
      <w:rFonts w:ascii="Times New Roman" w:eastAsia="SimSun" w:hAnsi="Times New Roman" w:cs="Mang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13E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3E5"/>
    <w:pPr>
      <w:widowControl w:val="0"/>
      <w:suppressAutoHyphens/>
      <w:spacing w:after="0" w:line="240" w:lineRule="auto"/>
    </w:pPr>
    <w:rPr>
      <w:rFonts w:ascii="Times New Roman" w:eastAsia="SimSun" w:hAnsi="Times New Roman" w:cs="Mangal"/>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9713E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Concordia</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Schacter</dc:creator>
  <cp:lastModifiedBy>Jonathan Schacter</cp:lastModifiedBy>
  <cp:revision>2</cp:revision>
  <dcterms:created xsi:type="dcterms:W3CDTF">2013-11-21T00:43:00Z</dcterms:created>
  <dcterms:modified xsi:type="dcterms:W3CDTF">2013-11-21T00:43:00Z</dcterms:modified>
</cp:coreProperties>
</file>