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86B" w:rsidRDefault="0095786B">
      <w:pPr>
        <w:pStyle w:val="NoSpacing"/>
        <w:rPr>
          <w:rFonts w:asciiTheme="majorHAnsi" w:eastAsiaTheme="majorEastAsia" w:hAnsiTheme="majorHAnsi" w:cstheme="majorBidi"/>
          <w:sz w:val="72"/>
          <w:szCs w:val="72"/>
        </w:rPr>
      </w:pPr>
      <w:r w:rsidRPr="0095786B">
        <w:rPr>
          <w:rFonts w:asciiTheme="majorHAnsi" w:eastAsiaTheme="majorEastAsia" w:hAnsiTheme="majorHAnsi" w:cstheme="majorBidi"/>
          <w:noProof/>
          <w:sz w:val="72"/>
          <w:szCs w:val="72"/>
          <w:lang w:val="en-CA" w:eastAsia="en-CA"/>
        </w:rPr>
        <w:drawing>
          <wp:inline distT="0" distB="0" distL="0" distR="0">
            <wp:extent cx="2800350" cy="904875"/>
            <wp:effectExtent l="0" t="0" r="0" b="9525"/>
            <wp:docPr id="4" name="Picture 11" descr="https://lh4.googleusercontent.com/KXW8OU1ncaObEgG90M-iMTjD9X8UBZLrz_tYriH6sSJsMZfqJMIvHNVs426cY5tj997xmRyVE5V9B5bvbMVe-fLvBuk8HuCiWv1Fmah_6LFee6MNJ0Dc2Lt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XW8OU1ncaObEgG90M-iMTjD9X8UBZLrz_tYriH6sSJsMZfqJMIvHNVs426cY5tj997xmRyVE5V9B5bvbMVe-fLvBuk8HuCiWv1Fmah_6LFee6MNJ0Dc2LtV_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0" cy="904875"/>
                    </a:xfrm>
                    <a:prstGeom prst="rect">
                      <a:avLst/>
                    </a:prstGeom>
                    <a:noFill/>
                    <a:ln>
                      <a:noFill/>
                    </a:ln>
                  </pic:spPr>
                </pic:pic>
              </a:graphicData>
            </a:graphic>
          </wp:inline>
        </w:drawing>
      </w:r>
      <w:r w:rsidRPr="0095786B">
        <w:rPr>
          <w:rFonts w:asciiTheme="majorHAnsi" w:eastAsiaTheme="majorEastAsia" w:hAnsiTheme="majorHAnsi" w:cstheme="majorBidi"/>
          <w:sz w:val="72"/>
          <w:szCs w:val="72"/>
        </w:rPr>
        <w:t xml:space="preserve"> </w:t>
      </w:r>
    </w:p>
    <w:sdt>
      <w:sdtPr>
        <w:rPr>
          <w:rFonts w:asciiTheme="majorHAnsi" w:eastAsiaTheme="majorEastAsia" w:hAnsiTheme="majorHAnsi" w:cstheme="majorBidi"/>
          <w:sz w:val="72"/>
          <w:szCs w:val="72"/>
        </w:rPr>
        <w:id w:val="433715"/>
        <w:docPartObj>
          <w:docPartGallery w:val="Cover Pages"/>
          <w:docPartUnique/>
        </w:docPartObj>
      </w:sdtPr>
      <w:sdtEndPr>
        <w:rPr>
          <w:rFonts w:ascii="HelveticaNeue LT 55 Roman" w:eastAsia="Times New Roman" w:hAnsi="HelveticaNeue LT 55 Roman" w:cs="Times New Roman"/>
          <w:sz w:val="22"/>
          <w:szCs w:val="24"/>
        </w:rPr>
      </w:sdtEndPr>
      <w:sdtContent>
        <w:p w:rsidR="008F5F56" w:rsidRDefault="008F5F56">
          <w:pPr>
            <w:pStyle w:val="NoSpacing"/>
            <w:rPr>
              <w:rFonts w:asciiTheme="majorHAnsi" w:eastAsiaTheme="majorEastAsia" w:hAnsiTheme="majorHAnsi" w:cstheme="majorBidi"/>
              <w:sz w:val="72"/>
              <w:szCs w:val="72"/>
            </w:rPr>
          </w:pPr>
          <w:r w:rsidRPr="008F5F56">
            <w:rPr>
              <w:rFonts w:asciiTheme="majorHAnsi" w:eastAsiaTheme="majorEastAsia" w:hAnsiTheme="majorHAnsi" w:cstheme="majorBidi"/>
              <w:noProof/>
              <w:sz w:val="72"/>
              <w:szCs w:val="72"/>
              <w:lang w:val="en-CA" w:eastAsia="en-CA"/>
            </w:rPr>
            <w:drawing>
              <wp:inline distT="0" distB="0" distL="0" distR="0" wp14:anchorId="63B8E7BB" wp14:editId="479ED470">
                <wp:extent cx="5486400" cy="729762"/>
                <wp:effectExtent l="19050" t="0" r="0" b="0"/>
                <wp:docPr id="8" name="Picture 10" descr="https://lh3.googleusercontent.com/UM57Pd9qG7ce37mdqKgpnD5PfZWu4_JGuZP4MHPiv-79RdxWQJRQ5G75PaezWToHd_emuMNHN8GhnlUzt8F-rnqBeIPNah-UKY-OQYQJD7z7sLj2TH7lSl6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UM57Pd9qG7ce37mdqKgpnD5PfZWu4_JGuZP4MHPiv-79RdxWQJRQ5G75PaezWToHd_emuMNHN8GhnlUzt8F-rnqBeIPNah-UKY-OQYQJD7z7sLj2TH7lSl6sz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729762"/>
                        </a:xfrm>
                        <a:prstGeom prst="rect">
                          <a:avLst/>
                        </a:prstGeom>
                        <a:noFill/>
                        <a:ln>
                          <a:noFill/>
                        </a:ln>
                      </pic:spPr>
                    </pic:pic>
                  </a:graphicData>
                </a:graphic>
              </wp:inline>
            </w:drawing>
          </w:r>
        </w:p>
        <w:p w:rsidR="00772443" w:rsidRDefault="00772443">
          <w:pPr>
            <w:pStyle w:val="NoSpacing"/>
            <w:rPr>
              <w:rFonts w:asciiTheme="majorHAnsi" w:eastAsiaTheme="majorEastAsia" w:hAnsiTheme="majorHAnsi" w:cstheme="majorBidi"/>
              <w:sz w:val="72"/>
              <w:szCs w:val="72"/>
            </w:rPr>
          </w:pPr>
        </w:p>
        <w:p w:rsidR="00772443" w:rsidRDefault="00772443">
          <w:pPr>
            <w:pStyle w:val="NoSpacing"/>
            <w:rPr>
              <w:rFonts w:asciiTheme="majorHAnsi" w:eastAsiaTheme="majorEastAsia" w:hAnsiTheme="majorHAnsi" w:cstheme="majorBidi"/>
              <w:sz w:val="72"/>
              <w:szCs w:val="72"/>
            </w:rPr>
          </w:pPr>
        </w:p>
        <w:p w:rsidR="00772443" w:rsidRDefault="00772443">
          <w:pPr>
            <w:pStyle w:val="NoSpacing"/>
            <w:rPr>
              <w:rFonts w:asciiTheme="majorHAnsi" w:eastAsiaTheme="majorEastAsia" w:hAnsiTheme="majorHAnsi" w:cstheme="majorBidi"/>
              <w:sz w:val="72"/>
              <w:szCs w:val="72"/>
            </w:rPr>
          </w:pPr>
        </w:p>
        <w:p w:rsidR="0095786B" w:rsidRDefault="004E03A6">
          <w:pPr>
            <w:pStyle w:val="NoSpacing"/>
            <w:rPr>
              <w:rFonts w:asciiTheme="majorHAnsi" w:eastAsiaTheme="majorEastAsia" w:hAnsiTheme="majorHAnsi" w:cstheme="majorBidi"/>
              <w:sz w:val="72"/>
              <w:szCs w:val="72"/>
            </w:rPr>
          </w:pPr>
          <w:r>
            <w:rPr>
              <w:rFonts w:eastAsiaTheme="majorEastAsia" w:cstheme="majorBidi"/>
              <w:noProof/>
              <w:lang w:val="en-CA" w:eastAsia="en-CA"/>
            </w:rPr>
            <mc:AlternateContent>
              <mc:Choice Requires="wps">
                <w:drawing>
                  <wp:anchor distT="0" distB="0" distL="114300" distR="114300" simplePos="0" relativeHeight="251660288" behindDoc="0" locked="0" layoutInCell="0" allowOverlap="1" wp14:anchorId="3348AEEB" wp14:editId="066B4C3C">
                    <wp:simplePos x="0" y="0"/>
                    <wp:positionH relativeFrom="page">
                      <wp:align>center</wp:align>
                    </wp:positionH>
                    <wp:positionV relativeFrom="page">
                      <wp:align>bottom</wp:align>
                    </wp:positionV>
                    <wp:extent cx="8110220" cy="553720"/>
                    <wp:effectExtent l="19050" t="19050" r="31750" b="4445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537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14" o:spid="_x0000_s1026" style="position:absolute;margin-left:0;margin-top:0;width:638.6pt;height:43.6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" o:allowincell="f" fillcolor="#4f81bd [3204]" strokecolor="#f2f2f2 [3041]" strokeweight="3pt">
                    <v:shadow on="t" color="#243f60 [1604]" opacity=".5" offset="1pt"/>
                    <w10:wrap anchorx="page" anchory="page"/>
                  </v:rect>
                </w:pict>
              </mc:Fallback>
            </mc:AlternateContent>
          </w:r>
          <w:r>
            <w:rPr>
              <w:rFonts w:eastAsiaTheme="majorEastAsia" w:cstheme="majorBidi"/>
              <w:noProof/>
              <w:lang w:val="en-CA" w:eastAsia="en-CA"/>
            </w:rPr>
            <mc:AlternateContent>
              <mc:Choice Requires="wps">
                <w:drawing>
                  <wp:anchor distT="0" distB="0" distL="114300" distR="114300" simplePos="0" relativeHeight="251663360" behindDoc="0" locked="0" layoutInCell="0" allowOverlap="1" wp14:anchorId="5D584B9F" wp14:editId="1F5A0AF3">
                    <wp:simplePos x="0" y="0"/>
                    <wp:positionH relativeFrom="leftMargin">
                      <wp:align>center</wp:align>
                    </wp:positionH>
                    <wp:positionV relativeFrom="page">
                      <wp:align>center</wp:align>
                    </wp:positionV>
                    <wp:extent cx="90805" cy="10539095"/>
                    <wp:effectExtent l="9525" t="9525" r="13970" b="1270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17" o:spid="_x0000_s1026" style="position:absolute;margin-left:0;margin-top:0;width:7.15pt;height:829.8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" o:allowincell="f" fillcolor="white [3212]" strokecolor="#31849b [2408]">
                    <w10:wrap anchorx="margin" anchory="page"/>
                  </v:rect>
                </w:pict>
              </mc:Fallback>
            </mc:AlternateContent>
          </w:r>
          <w:r>
            <w:rPr>
              <w:rFonts w:eastAsiaTheme="majorEastAsia" w:cstheme="majorBidi"/>
              <w:noProof/>
              <w:lang w:val="en-CA" w:eastAsia="en-CA"/>
            </w:rPr>
            <mc:AlternateContent>
              <mc:Choice Requires="wps">
                <w:drawing>
                  <wp:anchor distT="0" distB="0" distL="114300" distR="114300" simplePos="0" relativeHeight="251662336" behindDoc="0" locked="0" layoutInCell="0" allowOverlap="1" wp14:anchorId="5C62CD3D" wp14:editId="55688981">
                    <wp:simplePos x="0" y="0"/>
                    <wp:positionH relativeFrom="rightMargin">
                      <wp:align>center</wp:align>
                    </wp:positionH>
                    <wp:positionV relativeFrom="page">
                      <wp:align>center</wp:align>
                    </wp:positionV>
                    <wp:extent cx="90805" cy="10539095"/>
                    <wp:effectExtent l="9525" t="9525" r="13970" b="1270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16" o:spid="_x0000_s1026" style="position:absolute;margin-left:0;margin-top:0;width:7.15pt;height:829.8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" o:allowincell="f" fillcolor="white [3212]" strokecolor="#31849b [2408]">
                    <w10:wrap anchorx="margin" anchory="page"/>
                  </v:rect>
                </w:pict>
              </mc:Fallback>
            </mc:AlternateContent>
          </w:r>
          <w:r>
            <w:rPr>
              <w:rFonts w:eastAsiaTheme="majorEastAsia" w:cstheme="majorBidi"/>
              <w:noProof/>
              <w:lang w:val="en-CA" w:eastAsia="en-CA"/>
            </w:rPr>
            <mc:AlternateContent>
              <mc:Choice Requires="wps">
                <w:drawing>
                  <wp:anchor distT="0" distB="0" distL="114300" distR="114300" simplePos="0" relativeHeight="251661312" behindDoc="0" locked="0" layoutInCell="0" allowOverlap="1" wp14:anchorId="26700CBB" wp14:editId="33A526DE">
                    <wp:simplePos x="0" y="0"/>
                    <wp:positionH relativeFrom="page">
                      <wp:align>center</wp:align>
                    </wp:positionH>
                    <wp:positionV relativeFrom="topMargin">
                      <wp:align>top</wp:align>
                    </wp:positionV>
                    <wp:extent cx="8110220" cy="553720"/>
                    <wp:effectExtent l="19050" t="19050" r="31750" b="4445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537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15" o:spid="_x0000_s1026" style="position:absolute;margin-left:0;margin-top:0;width:638.6pt;height:43.6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" o:allowincell="f" fillcolor="#4f81bd [3204]" strokecolor="#f2f2f2 [3041]" strokeweight="3pt">
                    <v:shadow on="t" color="#243f60 [1604]" opacity=".5" offset="1pt"/>
                    <w10:wrap anchorx="page" anchory="margin"/>
                  </v:rect>
                </w:pict>
              </mc:Fallback>
            </mc:AlternateContent>
          </w:r>
        </w:p>
        <w:bookmarkStart w:id="0" w:name="_Toc374518250" w:displacedByCustomXml="next"/>
        <w:sdt>
          <w:sdtPr>
            <w:rPr>
              <w:rFonts w:ascii="HelveticaNeue LT 55 Roman" w:hAnsi="HelveticaNeue LT 55 Roman"/>
              <w:sz w:val="36"/>
              <w:lang w:eastAsia="en-CA"/>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95786B" w:rsidRPr="0095786B" w:rsidRDefault="004E03A6" w:rsidP="0095786B">
              <w:pPr>
                <w:pStyle w:val="Title"/>
                <w:rPr>
                  <w:rFonts w:ascii="HelveticaNeue LT 55 Roman" w:eastAsiaTheme="majorEastAsia" w:hAnsi="HelveticaNeue LT 55 Roman" w:cstheme="majorBidi"/>
                  <w:sz w:val="72"/>
                  <w:szCs w:val="72"/>
                </w:rPr>
              </w:pPr>
              <w:r>
                <w:rPr>
                  <w:rFonts w:ascii="HelveticaNeue LT 55 Roman" w:hAnsi="HelveticaNeue LT 55 Roman"/>
                  <w:sz w:val="36"/>
                  <w:lang w:val="en-CA" w:eastAsia="en-CA"/>
                </w:rPr>
                <w:t xml:space="preserve">A Financial and Competitive Analysis of Rogers Communications </w:t>
              </w:r>
              <w:proofErr w:type="spellStart"/>
              <w:r>
                <w:rPr>
                  <w:rFonts w:ascii="HelveticaNeue LT 55 Roman" w:hAnsi="HelveticaNeue LT 55 Roman"/>
                  <w:sz w:val="36"/>
                  <w:lang w:val="en-CA" w:eastAsia="en-CA"/>
                </w:rPr>
                <w:t>Inc</w:t>
              </w:r>
              <w:proofErr w:type="spellEnd"/>
              <w:r>
                <w:rPr>
                  <w:rFonts w:ascii="HelveticaNeue LT 55 Roman" w:hAnsi="HelveticaNeue LT 55 Roman"/>
                  <w:sz w:val="36"/>
                  <w:lang w:val="en-CA" w:eastAsia="en-CA"/>
                </w:rPr>
                <w:t xml:space="preserve"> and </w:t>
              </w:r>
              <w:proofErr w:type="spellStart"/>
              <w:r>
                <w:rPr>
                  <w:rFonts w:ascii="HelveticaNeue LT 55 Roman" w:hAnsi="HelveticaNeue LT 55 Roman"/>
                  <w:sz w:val="36"/>
                  <w:lang w:val="en-CA" w:eastAsia="en-CA"/>
                </w:rPr>
                <w:t>Telus</w:t>
              </w:r>
              <w:proofErr w:type="spellEnd"/>
              <w:r>
                <w:rPr>
                  <w:rFonts w:ascii="HelveticaNeue LT 55 Roman" w:hAnsi="HelveticaNeue LT 55 Roman"/>
                  <w:sz w:val="36"/>
                  <w:lang w:val="en-CA" w:eastAsia="en-CA"/>
                </w:rPr>
                <w:t xml:space="preserve"> Corporation</w:t>
              </w:r>
            </w:p>
          </w:sdtContent>
        </w:sdt>
        <w:bookmarkEnd w:id="0" w:displacedByCustomXml="prev"/>
        <w:sdt>
          <w:sdtPr>
            <w:rPr>
              <w:rFonts w:ascii="HelveticaNeue LT 55 Roman" w:eastAsia="Times New Roman" w:hAnsi="HelveticaNeue LT 55 Roman" w:cs="Times New Roman"/>
              <w:szCs w:val="24"/>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rsidR="0095786B" w:rsidRPr="0095786B" w:rsidRDefault="0095786B" w:rsidP="0095786B">
              <w:pPr>
                <w:pStyle w:val="NoSpacing"/>
                <w:jc w:val="center"/>
                <w:rPr>
                  <w:rFonts w:ascii="HelveticaNeue LT 55 Roman" w:eastAsia="Times New Roman" w:hAnsi="HelveticaNeue LT 55 Roman" w:cs="Times New Roman"/>
                  <w:szCs w:val="24"/>
                </w:rPr>
              </w:pPr>
              <w:r w:rsidRPr="0095786B">
                <w:rPr>
                  <w:rFonts w:ascii="HelveticaNeue LT 55 Roman" w:eastAsia="Times New Roman" w:hAnsi="HelveticaNeue LT 55 Roman" w:cs="Times New Roman"/>
                  <w:szCs w:val="24"/>
                </w:rPr>
                <w:t>MBA 607: Financial Accounting                                                                                                     Instructor:</w:t>
              </w:r>
              <w:r>
                <w:rPr>
                  <w:rFonts w:ascii="HelveticaNeue LT 55 Roman" w:eastAsia="Times New Roman" w:hAnsi="HelveticaNeue LT 55 Roman" w:cs="Times New Roman"/>
                  <w:szCs w:val="24"/>
                </w:rPr>
                <w:t xml:space="preserve"> </w:t>
              </w:r>
              <w:r w:rsidRPr="0095786B">
                <w:rPr>
                  <w:rFonts w:ascii="HelveticaNeue LT 55 Roman" w:eastAsia="Times New Roman" w:hAnsi="HelveticaNeue LT 55 Roman" w:cs="Times New Roman"/>
                  <w:szCs w:val="24"/>
                </w:rPr>
                <w:t xml:space="preserve">Jonathan </w:t>
              </w:r>
              <w:proofErr w:type="spellStart"/>
              <w:r w:rsidRPr="0095786B">
                <w:rPr>
                  <w:rFonts w:ascii="HelveticaNeue LT 55 Roman" w:eastAsia="Times New Roman" w:hAnsi="HelveticaNeue LT 55 Roman" w:cs="Times New Roman"/>
                  <w:szCs w:val="24"/>
                </w:rPr>
                <w:t>Schacter</w:t>
              </w:r>
              <w:proofErr w:type="spellEnd"/>
              <w:r w:rsidRPr="0095786B">
                <w:rPr>
                  <w:rFonts w:ascii="HelveticaNeue LT 55 Roman" w:eastAsia="Times New Roman" w:hAnsi="HelveticaNeue LT 55 Roman" w:cs="Times New Roman"/>
                  <w:szCs w:val="24"/>
                </w:rPr>
                <w:t xml:space="preserve">, CPA, </w:t>
              </w:r>
              <w:proofErr w:type="gramStart"/>
              <w:r w:rsidRPr="0095786B">
                <w:rPr>
                  <w:rFonts w:ascii="HelveticaNeue LT 55 Roman" w:eastAsia="Times New Roman" w:hAnsi="HelveticaNeue LT 55 Roman" w:cs="Times New Roman"/>
                  <w:szCs w:val="24"/>
                </w:rPr>
                <w:t>CA</w:t>
              </w:r>
              <w:proofErr w:type="gramEnd"/>
            </w:p>
          </w:sdtContent>
        </w:sdt>
        <w:p w:rsidR="0095786B" w:rsidRDefault="0095786B">
          <w:pPr>
            <w:pStyle w:val="NoSpacing"/>
            <w:rPr>
              <w:rFonts w:asciiTheme="majorHAnsi" w:eastAsiaTheme="majorEastAsia" w:hAnsiTheme="majorHAnsi" w:cstheme="majorBidi"/>
              <w:sz w:val="36"/>
              <w:szCs w:val="36"/>
            </w:rPr>
          </w:pPr>
        </w:p>
        <w:p w:rsidR="00772443" w:rsidRDefault="00772443">
          <w:pPr>
            <w:pStyle w:val="NoSpacing"/>
            <w:rPr>
              <w:rFonts w:asciiTheme="majorHAnsi" w:eastAsiaTheme="majorEastAsia" w:hAnsiTheme="majorHAnsi" w:cstheme="majorBidi"/>
              <w:sz w:val="36"/>
              <w:szCs w:val="36"/>
            </w:rPr>
          </w:pPr>
        </w:p>
        <w:p w:rsidR="00772443" w:rsidRDefault="00772443">
          <w:pPr>
            <w:pStyle w:val="NoSpacing"/>
            <w:rPr>
              <w:rFonts w:asciiTheme="majorHAnsi" w:eastAsiaTheme="majorEastAsia" w:hAnsiTheme="majorHAnsi" w:cstheme="majorBidi"/>
              <w:sz w:val="36"/>
              <w:szCs w:val="36"/>
            </w:rPr>
          </w:pPr>
        </w:p>
        <w:p w:rsidR="00772443" w:rsidRDefault="00772443">
          <w:pPr>
            <w:pStyle w:val="NoSpacing"/>
            <w:rPr>
              <w:rFonts w:asciiTheme="majorHAnsi" w:eastAsiaTheme="majorEastAsia" w:hAnsiTheme="majorHAnsi" w:cstheme="majorBidi"/>
              <w:sz w:val="36"/>
              <w:szCs w:val="36"/>
            </w:rPr>
          </w:pPr>
        </w:p>
        <w:p w:rsidR="00772443" w:rsidRDefault="00772443">
          <w:pPr>
            <w:pStyle w:val="NoSpacing"/>
            <w:rPr>
              <w:rFonts w:asciiTheme="majorHAnsi" w:eastAsiaTheme="majorEastAsia" w:hAnsiTheme="majorHAnsi" w:cstheme="majorBidi"/>
              <w:sz w:val="36"/>
              <w:szCs w:val="36"/>
            </w:rPr>
          </w:pPr>
        </w:p>
        <w:p w:rsidR="0095786B" w:rsidRDefault="0095786B">
          <w:pPr>
            <w:pStyle w:val="NoSpacing"/>
            <w:rPr>
              <w:rFonts w:asciiTheme="majorHAnsi" w:eastAsiaTheme="majorEastAsia" w:hAnsiTheme="majorHAnsi" w:cstheme="majorBidi"/>
              <w:sz w:val="36"/>
              <w:szCs w:val="36"/>
            </w:rPr>
          </w:pPr>
        </w:p>
        <w:sdt>
          <w:sdtPr>
            <w:rPr>
              <w:rFonts w:ascii="HelveticaNeue LT 55 Roman" w:eastAsia="Times New Roman" w:hAnsi="HelveticaNeue LT 55 Roman" w:cs="Times New Roman"/>
              <w:szCs w:val="24"/>
            </w:rPr>
            <w:alias w:val="Date"/>
            <w:id w:val="14700083"/>
            <w:dataBinding w:prefixMappings="xmlns:ns0='http://schemas.microsoft.com/office/2006/coverPageProps'" w:xpath="/ns0:CoverPageProperties[1]/ns0:PublishDate[1]" w:storeItemID="{55AF091B-3C7A-41E3-B477-F2FDAA23CFDA}"/>
            <w:date w:fullDate="2013-12-11T00:00:00Z">
              <w:dateFormat w:val="M/d/yyyy"/>
              <w:lid w:val="en-US"/>
              <w:storeMappedDataAs w:val="dateTime"/>
              <w:calendar w:val="gregorian"/>
            </w:date>
          </w:sdtPr>
          <w:sdtEndPr/>
          <w:sdtContent>
            <w:p w:rsidR="0095786B" w:rsidRPr="0095786B" w:rsidRDefault="00FD0702">
              <w:pPr>
                <w:pStyle w:val="NoSpacing"/>
                <w:rPr>
                  <w:rFonts w:ascii="HelveticaNeue LT 55 Roman" w:eastAsia="Times New Roman" w:hAnsi="HelveticaNeue LT 55 Roman" w:cs="Times New Roman"/>
                  <w:szCs w:val="24"/>
                </w:rPr>
              </w:pPr>
              <w:r>
                <w:rPr>
                  <w:rFonts w:ascii="HelveticaNeue LT 55 Roman" w:eastAsia="Times New Roman" w:hAnsi="HelveticaNeue LT 55 Roman" w:cs="Times New Roman"/>
                  <w:szCs w:val="24"/>
                </w:rPr>
                <w:t>12/11/2013</w:t>
              </w:r>
            </w:p>
          </w:sdtContent>
        </w:sdt>
        <w:sdt>
          <w:sdtPr>
            <w:rPr>
              <w:rFonts w:ascii="HelveticaNeue LT 55 Roman" w:eastAsia="Times New Roman" w:hAnsi="HelveticaNeue LT 55 Roman" w:cs="Times New Roman"/>
              <w:szCs w:val="24"/>
            </w:rPr>
            <w:alias w:val="Company"/>
            <w:id w:val="14700089"/>
            <w:dataBinding w:prefixMappings="xmlns:ns0='http://schemas.openxmlformats.org/officeDocument/2006/extended-properties'" w:xpath="/ns0:Properties[1]/ns0:Company[1]" w:storeItemID="{6668398D-A668-4E3E-A5EB-62B293D839F1}"/>
            <w:text/>
          </w:sdtPr>
          <w:sdtEndPr/>
          <w:sdtContent>
            <w:p w:rsidR="0095786B" w:rsidRPr="0095786B" w:rsidRDefault="0095786B" w:rsidP="0095786B">
              <w:pPr>
                <w:pStyle w:val="NoSpacing"/>
                <w:rPr>
                  <w:rFonts w:ascii="HelveticaNeue LT 55 Roman" w:eastAsia="Times New Roman" w:hAnsi="HelveticaNeue LT 55 Roman" w:cs="Times New Roman"/>
                  <w:szCs w:val="24"/>
                </w:rPr>
              </w:pPr>
              <w:r w:rsidRPr="0095786B">
                <w:rPr>
                  <w:rFonts w:ascii="HelveticaNeue LT 55 Roman" w:eastAsia="Times New Roman" w:hAnsi="HelveticaNeue LT 55 Roman" w:cs="Times New Roman"/>
                  <w:szCs w:val="24"/>
                </w:rPr>
                <w:t xml:space="preserve">Simon </w:t>
              </w:r>
              <w:proofErr w:type="spellStart"/>
              <w:r w:rsidRPr="0095786B">
                <w:rPr>
                  <w:rFonts w:ascii="HelveticaNeue LT 55 Roman" w:eastAsia="Times New Roman" w:hAnsi="HelveticaNeue LT 55 Roman" w:cs="Times New Roman"/>
                  <w:szCs w:val="24"/>
                </w:rPr>
                <w:t>Foucher</w:t>
              </w:r>
              <w:proofErr w:type="spellEnd"/>
              <w:r w:rsidRPr="0095786B">
                <w:rPr>
                  <w:rFonts w:ascii="HelveticaNeue LT 55 Roman" w:eastAsia="Times New Roman" w:hAnsi="HelveticaNeue LT 55 Roman" w:cs="Times New Roman"/>
                  <w:szCs w:val="24"/>
                </w:rPr>
                <w:t xml:space="preserve">                                                                                                       </w:t>
              </w:r>
              <w:proofErr w:type="spellStart"/>
              <w:r w:rsidRPr="0095786B">
                <w:rPr>
                  <w:rFonts w:ascii="HelveticaNeue LT 55 Roman" w:eastAsia="Times New Roman" w:hAnsi="HelveticaNeue LT 55 Roman" w:cs="Times New Roman"/>
                  <w:szCs w:val="24"/>
                </w:rPr>
                <w:t>Wenfeng</w:t>
              </w:r>
              <w:proofErr w:type="spellEnd"/>
              <w:r w:rsidRPr="0095786B">
                <w:rPr>
                  <w:rFonts w:ascii="HelveticaNeue LT 55 Roman" w:eastAsia="Times New Roman" w:hAnsi="HelveticaNeue LT 55 Roman" w:cs="Times New Roman"/>
                  <w:szCs w:val="24"/>
                </w:rPr>
                <w:t xml:space="preserve"> Hu                                                                                                               </w:t>
              </w:r>
              <w:proofErr w:type="spellStart"/>
              <w:r w:rsidRPr="0095786B">
                <w:rPr>
                  <w:rFonts w:ascii="HelveticaNeue LT 55 Roman" w:eastAsia="Times New Roman" w:hAnsi="HelveticaNeue LT 55 Roman" w:cs="Times New Roman"/>
                  <w:szCs w:val="24"/>
                </w:rPr>
                <w:t>Myriam</w:t>
              </w:r>
              <w:proofErr w:type="spellEnd"/>
              <w:r w:rsidRPr="0095786B">
                <w:rPr>
                  <w:rFonts w:ascii="HelveticaNeue LT 55 Roman" w:eastAsia="Times New Roman" w:hAnsi="HelveticaNeue LT 55 Roman" w:cs="Times New Roman"/>
                  <w:szCs w:val="24"/>
                </w:rPr>
                <w:t xml:space="preserve"> Lévesque                                                                                                                  </w:t>
              </w:r>
              <w:proofErr w:type="spellStart"/>
              <w:r w:rsidRPr="0095786B">
                <w:rPr>
                  <w:rFonts w:ascii="HelveticaNeue LT 55 Roman" w:eastAsia="Times New Roman" w:hAnsi="HelveticaNeue LT 55 Roman" w:cs="Times New Roman"/>
                  <w:szCs w:val="24"/>
                </w:rPr>
                <w:t>Adilson</w:t>
              </w:r>
              <w:proofErr w:type="spellEnd"/>
              <w:r w:rsidRPr="0095786B">
                <w:rPr>
                  <w:rFonts w:ascii="HelveticaNeue LT 55 Roman" w:eastAsia="Times New Roman" w:hAnsi="HelveticaNeue LT 55 Roman" w:cs="Times New Roman"/>
                  <w:szCs w:val="24"/>
                </w:rPr>
                <w:t xml:space="preserve"> </w:t>
              </w:r>
              <w:proofErr w:type="spellStart"/>
              <w:r w:rsidRPr="0095786B">
                <w:rPr>
                  <w:rFonts w:ascii="HelveticaNeue LT 55 Roman" w:eastAsia="Times New Roman" w:hAnsi="HelveticaNeue LT 55 Roman" w:cs="Times New Roman"/>
                  <w:szCs w:val="24"/>
                </w:rPr>
                <w:t>Somensari</w:t>
              </w:r>
              <w:proofErr w:type="spellEnd"/>
              <w:r w:rsidRPr="0095786B">
                <w:rPr>
                  <w:rFonts w:ascii="HelveticaNeue LT 55 Roman" w:eastAsia="Times New Roman" w:hAnsi="HelveticaNeue LT 55 Roman" w:cs="Times New Roman"/>
                  <w:szCs w:val="24"/>
                </w:rPr>
                <w:t xml:space="preserve">                                                                                                            Jonathan </w:t>
              </w:r>
              <w:proofErr w:type="spellStart"/>
              <w:r w:rsidRPr="0095786B">
                <w:rPr>
                  <w:rFonts w:ascii="HelveticaNeue LT 55 Roman" w:eastAsia="Times New Roman" w:hAnsi="HelveticaNeue LT 55 Roman" w:cs="Times New Roman"/>
                  <w:szCs w:val="24"/>
                </w:rPr>
                <w:t>Suprovici</w:t>
              </w:r>
              <w:proofErr w:type="spellEnd"/>
            </w:p>
          </w:sdtContent>
        </w:sdt>
        <w:p w:rsidR="007D5A6C" w:rsidRPr="008F5F56" w:rsidRDefault="00437D61" w:rsidP="008F5F56">
          <w:pPr>
            <w:spacing w:before="0" w:after="0"/>
            <w:sectPr w:rsidR="007D5A6C" w:rsidRPr="008F5F56" w:rsidSect="00550316">
              <w:footerReference w:type="default" r:id="rId12"/>
              <w:pgSz w:w="12240" w:h="15840" w:code="1"/>
              <w:pgMar w:top="1080" w:right="1800" w:bottom="1080" w:left="1800" w:header="720" w:footer="720" w:gutter="0"/>
              <w:cols w:space="720"/>
              <w:titlePg/>
              <w:docGrid w:linePitch="360"/>
            </w:sectPr>
          </w:pPr>
        </w:p>
      </w:sdtContent>
    </w:sdt>
    <w:p w:rsidR="00596D1E" w:rsidRPr="008375C6" w:rsidRDefault="00596D1E" w:rsidP="00596D1E">
      <w:pPr>
        <w:spacing w:after="0" w:line="480" w:lineRule="auto"/>
        <w:rPr>
          <w:rFonts w:ascii="Times New Roman" w:hAnsi="Times New Roman"/>
          <w:sz w:val="24"/>
          <w:lang w:eastAsia="en-CA"/>
        </w:rPr>
      </w:pPr>
      <w:bookmarkStart w:id="1" w:name="_Toc374518251"/>
      <w:r w:rsidRPr="00596D1E">
        <w:rPr>
          <w:rStyle w:val="Heading1Char"/>
        </w:rPr>
        <w:lastRenderedPageBreak/>
        <w:t>Executive Summary</w:t>
      </w:r>
      <w:bookmarkEnd w:id="1"/>
    </w:p>
    <w:p w:rsidR="00E12570" w:rsidRDefault="00E12570" w:rsidP="00E713B2">
      <w:pPr>
        <w:rPr>
          <w:lang w:eastAsia="en-CA"/>
        </w:rPr>
      </w:pPr>
      <w:r>
        <w:rPr>
          <w:lang w:eastAsia="en-CA"/>
        </w:rPr>
        <w:t xml:space="preserve">The telecommunications industry has become more attractive to investors as wireless communication has grown to be an integral part of Canadians’ lives </w:t>
      </w:r>
      <w:r w:rsidR="00EF5A65">
        <w:rPr>
          <w:lang w:eastAsia="en-CA"/>
        </w:rPr>
        <w:t>over the past three decades</w:t>
      </w:r>
      <w:r w:rsidRPr="00C1044A">
        <w:rPr>
          <w:lang w:eastAsia="en-CA"/>
        </w:rPr>
        <w:t>.</w:t>
      </w:r>
      <w:r w:rsidR="00EF5A65">
        <w:rPr>
          <w:lang w:eastAsia="en-CA"/>
        </w:rPr>
        <w:t xml:space="preserve"> </w:t>
      </w:r>
      <w:r w:rsidR="00596D1E">
        <w:rPr>
          <w:lang w:eastAsia="en-CA"/>
        </w:rPr>
        <w:t xml:space="preserve">Rogers Communications Inc. and Telus Corporation are two of the three major players in </w:t>
      </w:r>
      <w:r w:rsidR="00EF5A65">
        <w:rPr>
          <w:lang w:eastAsia="en-CA"/>
        </w:rPr>
        <w:t>this</w:t>
      </w:r>
      <w:r>
        <w:rPr>
          <w:lang w:eastAsia="en-CA"/>
        </w:rPr>
        <w:t xml:space="preserve"> industry</w:t>
      </w:r>
      <w:r w:rsidR="00596D1E">
        <w:rPr>
          <w:lang w:eastAsia="en-CA"/>
        </w:rPr>
        <w:t xml:space="preserve">. </w:t>
      </w:r>
    </w:p>
    <w:p w:rsidR="00EF5A65" w:rsidRDefault="00EF5A65" w:rsidP="00E713B2">
      <w:pPr>
        <w:rPr>
          <w:lang w:eastAsia="en-CA"/>
        </w:rPr>
      </w:pPr>
      <w:r>
        <w:rPr>
          <w:lang w:eastAsia="en-CA"/>
        </w:rPr>
        <w:t>As the market leader, Rogers</w:t>
      </w:r>
      <w:r w:rsidR="003D49CB">
        <w:rPr>
          <w:lang w:eastAsia="en-CA"/>
        </w:rPr>
        <w:t xml:space="preserve"> Communications not only has higher profit margins than Telus, but it also has less debt, superior earnings per share and return on equity. Moreover, Rogers Communications has a lower P/E ratio than Telus suggesting that its stock might not be overvalued and therefore represent a sound investment.</w:t>
      </w:r>
    </w:p>
    <w:p w:rsidR="00596D1E" w:rsidRDefault="00EF5A65" w:rsidP="00E713B2">
      <w:pPr>
        <w:rPr>
          <w:lang w:eastAsia="en-CA"/>
        </w:rPr>
      </w:pPr>
      <w:r>
        <w:rPr>
          <w:lang w:eastAsia="en-CA"/>
        </w:rPr>
        <w:t>In addition to strong financials, Rogers Communications offers a greater breadth of services (internet, cable, and print publications) than does Telus Corporation. Thus Rogers has greater opportunities for growth and decreased exposure to risk of increased competition in the wireless segment.</w:t>
      </w:r>
    </w:p>
    <w:p w:rsidR="003D49CB" w:rsidRPr="00EF5A65" w:rsidRDefault="003D49CB" w:rsidP="00E713B2">
      <w:pPr>
        <w:rPr>
          <w:lang w:eastAsia="en-CA"/>
        </w:rPr>
      </w:pPr>
      <w:r>
        <w:rPr>
          <w:lang w:eastAsia="en-CA"/>
        </w:rPr>
        <w:t>Based on these arguments, herein we present evidence to support the recommendation of an investment in Rogers Communications Inc.</w:t>
      </w:r>
    </w:p>
    <w:p w:rsidR="00724CA1" w:rsidRPr="00724CA1" w:rsidRDefault="00A72CEC" w:rsidP="00724CA1">
      <w:pPr>
        <w:pStyle w:val="Heading1"/>
        <w:rPr>
          <w:noProof/>
        </w:rPr>
      </w:pPr>
      <w:bookmarkStart w:id="2" w:name="_Toc373942770"/>
      <w:bookmarkStart w:id="3" w:name="_Toc373946881"/>
      <w:bookmarkStart w:id="4" w:name="_Toc374192822"/>
      <w:bookmarkStart w:id="5" w:name="_Toc374518252"/>
      <w:r>
        <w:rPr>
          <w:lang w:eastAsia="en-CA"/>
        </w:rPr>
        <w:lastRenderedPageBreak/>
        <w:t>Table of Contents</w:t>
      </w:r>
      <w:bookmarkEnd w:id="2"/>
      <w:bookmarkEnd w:id="3"/>
      <w:bookmarkEnd w:id="4"/>
      <w:bookmarkEnd w:id="5"/>
      <w:r w:rsidR="00724CA1">
        <w:rPr>
          <w:rFonts w:ascii="Arial" w:hAnsi="Arial"/>
          <w:b/>
          <w:szCs w:val="22"/>
          <w:lang w:eastAsia="en-CA"/>
        </w:rPr>
        <w:fldChar w:fldCharType="begin"/>
      </w:r>
      <w:r w:rsidR="00724CA1">
        <w:rPr>
          <w:rFonts w:ascii="Arial" w:hAnsi="Arial"/>
          <w:b/>
          <w:szCs w:val="22"/>
          <w:lang w:eastAsia="en-CA"/>
        </w:rPr>
        <w:instrText xml:space="preserve"> TOC \o "1-3" \h \z \u </w:instrText>
      </w:r>
      <w:r w:rsidR="00724CA1">
        <w:rPr>
          <w:rFonts w:ascii="Arial" w:hAnsi="Arial"/>
          <w:b/>
          <w:szCs w:val="22"/>
          <w:lang w:eastAsia="en-CA"/>
        </w:rPr>
        <w:fldChar w:fldCharType="separate"/>
      </w:r>
    </w:p>
    <w:p w:rsidR="00724CA1" w:rsidRDefault="00724CA1">
      <w:pPr>
        <w:pStyle w:val="TOC1"/>
        <w:tabs>
          <w:tab w:val="right" w:leader="dot" w:pos="8630"/>
        </w:tabs>
        <w:rPr>
          <w:rFonts w:asciiTheme="minorHAnsi" w:eastAsiaTheme="minorEastAsia" w:hAnsiTheme="minorHAnsi" w:cstheme="minorBidi"/>
          <w:b w:val="0"/>
          <w:bCs w:val="0"/>
          <w:noProof/>
          <w:lang w:val="en-CA" w:eastAsia="en-CA"/>
        </w:rPr>
      </w:pPr>
      <w:hyperlink w:anchor="_Toc374518251" w:history="1">
        <w:r w:rsidRPr="00D91F19">
          <w:rPr>
            <w:rStyle w:val="Hyperlink"/>
            <w:noProof/>
          </w:rPr>
          <w:t>Executive Summary</w:t>
        </w:r>
        <w:r>
          <w:rPr>
            <w:noProof/>
            <w:webHidden/>
          </w:rPr>
          <w:tab/>
        </w:r>
        <w:r>
          <w:rPr>
            <w:noProof/>
            <w:webHidden/>
          </w:rPr>
          <w:fldChar w:fldCharType="begin"/>
        </w:r>
        <w:r>
          <w:rPr>
            <w:noProof/>
            <w:webHidden/>
          </w:rPr>
          <w:instrText xml:space="preserve"> PAGEREF _Toc374518251 \h </w:instrText>
        </w:r>
        <w:r>
          <w:rPr>
            <w:noProof/>
            <w:webHidden/>
          </w:rPr>
        </w:r>
        <w:r>
          <w:rPr>
            <w:noProof/>
            <w:webHidden/>
          </w:rPr>
          <w:fldChar w:fldCharType="separate"/>
        </w:r>
        <w:r>
          <w:rPr>
            <w:noProof/>
            <w:webHidden/>
          </w:rPr>
          <w:t>i</w:t>
        </w:r>
        <w:r>
          <w:rPr>
            <w:noProof/>
            <w:webHidden/>
          </w:rPr>
          <w:fldChar w:fldCharType="end"/>
        </w:r>
      </w:hyperlink>
    </w:p>
    <w:p w:rsidR="00724CA1" w:rsidRDefault="00724CA1">
      <w:pPr>
        <w:pStyle w:val="TOC1"/>
        <w:tabs>
          <w:tab w:val="right" w:leader="dot" w:pos="8630"/>
        </w:tabs>
        <w:rPr>
          <w:rFonts w:asciiTheme="minorHAnsi" w:eastAsiaTheme="minorEastAsia" w:hAnsiTheme="minorHAnsi" w:cstheme="minorBidi"/>
          <w:b w:val="0"/>
          <w:bCs w:val="0"/>
          <w:noProof/>
          <w:lang w:val="en-CA" w:eastAsia="en-CA"/>
        </w:rPr>
      </w:pPr>
      <w:hyperlink w:anchor="_Toc374518253" w:history="1">
        <w:r w:rsidRPr="00D91F19">
          <w:rPr>
            <w:rStyle w:val="Hyperlink"/>
            <w:noProof/>
            <w:lang w:eastAsia="en-CA"/>
          </w:rPr>
          <w:t>The Telecommunications Industry</w:t>
        </w:r>
        <w:r>
          <w:rPr>
            <w:noProof/>
            <w:webHidden/>
          </w:rPr>
          <w:tab/>
        </w:r>
        <w:r>
          <w:rPr>
            <w:noProof/>
            <w:webHidden/>
          </w:rPr>
          <w:fldChar w:fldCharType="begin"/>
        </w:r>
        <w:r>
          <w:rPr>
            <w:noProof/>
            <w:webHidden/>
          </w:rPr>
          <w:instrText xml:space="preserve"> PAGEREF _Toc374518253 \h </w:instrText>
        </w:r>
        <w:r>
          <w:rPr>
            <w:noProof/>
            <w:webHidden/>
          </w:rPr>
        </w:r>
        <w:r>
          <w:rPr>
            <w:noProof/>
            <w:webHidden/>
          </w:rPr>
          <w:fldChar w:fldCharType="separate"/>
        </w:r>
        <w:r>
          <w:rPr>
            <w:noProof/>
            <w:webHidden/>
          </w:rPr>
          <w:t>1</w:t>
        </w:r>
        <w:r>
          <w:rPr>
            <w:noProof/>
            <w:webHidden/>
          </w:rPr>
          <w:fldChar w:fldCharType="end"/>
        </w:r>
      </w:hyperlink>
    </w:p>
    <w:p w:rsidR="00724CA1" w:rsidRDefault="00724CA1">
      <w:pPr>
        <w:pStyle w:val="TOC2"/>
        <w:tabs>
          <w:tab w:val="right" w:leader="dot" w:pos="8630"/>
        </w:tabs>
        <w:rPr>
          <w:rFonts w:asciiTheme="minorHAnsi" w:eastAsiaTheme="minorEastAsia" w:hAnsiTheme="minorHAnsi" w:cstheme="minorBidi"/>
          <w:b w:val="0"/>
          <w:bCs w:val="0"/>
          <w:noProof/>
          <w:sz w:val="22"/>
          <w:szCs w:val="22"/>
          <w:lang w:val="en-CA" w:eastAsia="en-CA"/>
        </w:rPr>
      </w:pPr>
      <w:hyperlink w:anchor="_Toc374518254" w:history="1">
        <w:r w:rsidRPr="00D91F19">
          <w:rPr>
            <w:rStyle w:val="Hyperlink"/>
            <w:noProof/>
            <w:lang w:eastAsia="en-CA"/>
          </w:rPr>
          <w:t>Industry Overview</w:t>
        </w:r>
        <w:r>
          <w:rPr>
            <w:noProof/>
            <w:webHidden/>
          </w:rPr>
          <w:tab/>
        </w:r>
        <w:r>
          <w:rPr>
            <w:noProof/>
            <w:webHidden/>
          </w:rPr>
          <w:fldChar w:fldCharType="begin"/>
        </w:r>
        <w:r>
          <w:rPr>
            <w:noProof/>
            <w:webHidden/>
          </w:rPr>
          <w:instrText xml:space="preserve"> PAGEREF _Toc374518254 \h </w:instrText>
        </w:r>
        <w:r>
          <w:rPr>
            <w:noProof/>
            <w:webHidden/>
          </w:rPr>
        </w:r>
        <w:r>
          <w:rPr>
            <w:noProof/>
            <w:webHidden/>
          </w:rPr>
          <w:fldChar w:fldCharType="separate"/>
        </w:r>
        <w:r>
          <w:rPr>
            <w:noProof/>
            <w:webHidden/>
          </w:rPr>
          <w:t>1</w:t>
        </w:r>
        <w:r>
          <w:rPr>
            <w:noProof/>
            <w:webHidden/>
          </w:rPr>
          <w:fldChar w:fldCharType="end"/>
        </w:r>
      </w:hyperlink>
    </w:p>
    <w:p w:rsidR="00724CA1" w:rsidRDefault="00724CA1">
      <w:pPr>
        <w:pStyle w:val="TOC2"/>
        <w:tabs>
          <w:tab w:val="right" w:leader="dot" w:pos="8630"/>
        </w:tabs>
        <w:rPr>
          <w:rFonts w:asciiTheme="minorHAnsi" w:eastAsiaTheme="minorEastAsia" w:hAnsiTheme="minorHAnsi" w:cstheme="minorBidi"/>
          <w:b w:val="0"/>
          <w:bCs w:val="0"/>
          <w:noProof/>
          <w:sz w:val="22"/>
          <w:szCs w:val="22"/>
          <w:lang w:val="en-CA" w:eastAsia="en-CA"/>
        </w:rPr>
      </w:pPr>
      <w:hyperlink w:anchor="_Toc374518255" w:history="1">
        <w:r w:rsidRPr="00D91F19">
          <w:rPr>
            <w:rStyle w:val="Hyperlink"/>
            <w:noProof/>
            <w:lang w:eastAsia="en-CA"/>
          </w:rPr>
          <w:t>Key Industry Characteristics</w:t>
        </w:r>
        <w:r>
          <w:rPr>
            <w:noProof/>
            <w:webHidden/>
          </w:rPr>
          <w:tab/>
        </w:r>
        <w:r>
          <w:rPr>
            <w:noProof/>
            <w:webHidden/>
          </w:rPr>
          <w:fldChar w:fldCharType="begin"/>
        </w:r>
        <w:r>
          <w:rPr>
            <w:noProof/>
            <w:webHidden/>
          </w:rPr>
          <w:instrText xml:space="preserve"> PAGEREF _Toc374518255 \h </w:instrText>
        </w:r>
        <w:r>
          <w:rPr>
            <w:noProof/>
            <w:webHidden/>
          </w:rPr>
        </w:r>
        <w:r>
          <w:rPr>
            <w:noProof/>
            <w:webHidden/>
          </w:rPr>
          <w:fldChar w:fldCharType="separate"/>
        </w:r>
        <w:r>
          <w:rPr>
            <w:noProof/>
            <w:webHidden/>
          </w:rPr>
          <w:t>1</w:t>
        </w:r>
        <w:r>
          <w:rPr>
            <w:noProof/>
            <w:webHidden/>
          </w:rPr>
          <w:fldChar w:fldCharType="end"/>
        </w:r>
      </w:hyperlink>
    </w:p>
    <w:p w:rsidR="00724CA1" w:rsidRDefault="00724CA1">
      <w:pPr>
        <w:pStyle w:val="TOC1"/>
        <w:tabs>
          <w:tab w:val="right" w:leader="dot" w:pos="8630"/>
        </w:tabs>
        <w:rPr>
          <w:rFonts w:asciiTheme="minorHAnsi" w:eastAsiaTheme="minorEastAsia" w:hAnsiTheme="minorHAnsi" w:cstheme="minorBidi"/>
          <w:b w:val="0"/>
          <w:bCs w:val="0"/>
          <w:noProof/>
          <w:lang w:val="en-CA" w:eastAsia="en-CA"/>
        </w:rPr>
      </w:pPr>
      <w:hyperlink w:anchor="_Toc374518256" w:history="1">
        <w:r w:rsidRPr="00D91F19">
          <w:rPr>
            <w:rStyle w:val="Hyperlink"/>
            <w:noProof/>
            <w:lang w:eastAsia="en-CA"/>
          </w:rPr>
          <w:t>Company Overview</w:t>
        </w:r>
        <w:r>
          <w:rPr>
            <w:noProof/>
            <w:webHidden/>
          </w:rPr>
          <w:tab/>
        </w:r>
        <w:r>
          <w:rPr>
            <w:noProof/>
            <w:webHidden/>
          </w:rPr>
          <w:fldChar w:fldCharType="begin"/>
        </w:r>
        <w:r>
          <w:rPr>
            <w:noProof/>
            <w:webHidden/>
          </w:rPr>
          <w:instrText xml:space="preserve"> PAGEREF _Toc374518256 \h </w:instrText>
        </w:r>
        <w:r>
          <w:rPr>
            <w:noProof/>
            <w:webHidden/>
          </w:rPr>
        </w:r>
        <w:r>
          <w:rPr>
            <w:noProof/>
            <w:webHidden/>
          </w:rPr>
          <w:fldChar w:fldCharType="separate"/>
        </w:r>
        <w:r>
          <w:rPr>
            <w:noProof/>
            <w:webHidden/>
          </w:rPr>
          <w:t>3</w:t>
        </w:r>
        <w:r>
          <w:rPr>
            <w:noProof/>
            <w:webHidden/>
          </w:rPr>
          <w:fldChar w:fldCharType="end"/>
        </w:r>
      </w:hyperlink>
    </w:p>
    <w:p w:rsidR="00724CA1" w:rsidRDefault="00724CA1">
      <w:pPr>
        <w:pStyle w:val="TOC2"/>
        <w:tabs>
          <w:tab w:val="right" w:leader="dot" w:pos="8630"/>
        </w:tabs>
        <w:rPr>
          <w:rFonts w:asciiTheme="minorHAnsi" w:eastAsiaTheme="minorEastAsia" w:hAnsiTheme="minorHAnsi" w:cstheme="minorBidi"/>
          <w:b w:val="0"/>
          <w:bCs w:val="0"/>
          <w:noProof/>
          <w:sz w:val="22"/>
          <w:szCs w:val="22"/>
          <w:lang w:val="en-CA" w:eastAsia="en-CA"/>
        </w:rPr>
      </w:pPr>
      <w:hyperlink w:anchor="_Toc374518257" w:history="1">
        <w:r w:rsidRPr="00D91F19">
          <w:rPr>
            <w:rStyle w:val="Hyperlink"/>
            <w:noProof/>
            <w:lang w:eastAsia="en-CA"/>
          </w:rPr>
          <w:t>Rogers Communications Inc.</w:t>
        </w:r>
        <w:r>
          <w:rPr>
            <w:noProof/>
            <w:webHidden/>
          </w:rPr>
          <w:tab/>
        </w:r>
        <w:r>
          <w:rPr>
            <w:noProof/>
            <w:webHidden/>
          </w:rPr>
          <w:fldChar w:fldCharType="begin"/>
        </w:r>
        <w:r>
          <w:rPr>
            <w:noProof/>
            <w:webHidden/>
          </w:rPr>
          <w:instrText xml:space="preserve"> PAGEREF _Toc374518257 \h </w:instrText>
        </w:r>
        <w:r>
          <w:rPr>
            <w:noProof/>
            <w:webHidden/>
          </w:rPr>
        </w:r>
        <w:r>
          <w:rPr>
            <w:noProof/>
            <w:webHidden/>
          </w:rPr>
          <w:fldChar w:fldCharType="separate"/>
        </w:r>
        <w:r>
          <w:rPr>
            <w:noProof/>
            <w:webHidden/>
          </w:rPr>
          <w:t>3</w:t>
        </w:r>
        <w:r>
          <w:rPr>
            <w:noProof/>
            <w:webHidden/>
          </w:rPr>
          <w:fldChar w:fldCharType="end"/>
        </w:r>
      </w:hyperlink>
    </w:p>
    <w:p w:rsidR="00724CA1" w:rsidRDefault="00724CA1">
      <w:pPr>
        <w:pStyle w:val="TOC2"/>
        <w:tabs>
          <w:tab w:val="right" w:leader="dot" w:pos="8630"/>
        </w:tabs>
        <w:rPr>
          <w:rFonts w:asciiTheme="minorHAnsi" w:eastAsiaTheme="minorEastAsia" w:hAnsiTheme="minorHAnsi" w:cstheme="minorBidi"/>
          <w:b w:val="0"/>
          <w:bCs w:val="0"/>
          <w:noProof/>
          <w:sz w:val="22"/>
          <w:szCs w:val="22"/>
          <w:lang w:val="en-CA" w:eastAsia="en-CA"/>
        </w:rPr>
      </w:pPr>
      <w:hyperlink w:anchor="_Toc374518258" w:history="1">
        <w:r w:rsidRPr="00D91F19">
          <w:rPr>
            <w:rStyle w:val="Hyperlink"/>
            <w:noProof/>
            <w:shd w:val="clear" w:color="auto" w:fill="FFFFFF"/>
          </w:rPr>
          <w:t>Telus C</w:t>
        </w:r>
        <w:r w:rsidRPr="00D91F19">
          <w:rPr>
            <w:rStyle w:val="Hyperlink"/>
            <w:noProof/>
            <w:lang w:eastAsia="en-CA"/>
          </w:rPr>
          <w:t>orporation</w:t>
        </w:r>
        <w:r>
          <w:rPr>
            <w:noProof/>
            <w:webHidden/>
          </w:rPr>
          <w:tab/>
        </w:r>
        <w:r>
          <w:rPr>
            <w:noProof/>
            <w:webHidden/>
          </w:rPr>
          <w:fldChar w:fldCharType="begin"/>
        </w:r>
        <w:r>
          <w:rPr>
            <w:noProof/>
            <w:webHidden/>
          </w:rPr>
          <w:instrText xml:space="preserve"> PAGEREF _Toc374518258 \h </w:instrText>
        </w:r>
        <w:r>
          <w:rPr>
            <w:noProof/>
            <w:webHidden/>
          </w:rPr>
        </w:r>
        <w:r>
          <w:rPr>
            <w:noProof/>
            <w:webHidden/>
          </w:rPr>
          <w:fldChar w:fldCharType="separate"/>
        </w:r>
        <w:r>
          <w:rPr>
            <w:noProof/>
            <w:webHidden/>
          </w:rPr>
          <w:t>3</w:t>
        </w:r>
        <w:r>
          <w:rPr>
            <w:noProof/>
            <w:webHidden/>
          </w:rPr>
          <w:fldChar w:fldCharType="end"/>
        </w:r>
      </w:hyperlink>
    </w:p>
    <w:p w:rsidR="00724CA1" w:rsidRDefault="00724CA1">
      <w:pPr>
        <w:pStyle w:val="TOC1"/>
        <w:tabs>
          <w:tab w:val="right" w:leader="dot" w:pos="8630"/>
        </w:tabs>
        <w:rPr>
          <w:rFonts w:asciiTheme="minorHAnsi" w:eastAsiaTheme="minorEastAsia" w:hAnsiTheme="minorHAnsi" w:cstheme="minorBidi"/>
          <w:b w:val="0"/>
          <w:bCs w:val="0"/>
          <w:noProof/>
          <w:lang w:val="en-CA" w:eastAsia="en-CA"/>
        </w:rPr>
      </w:pPr>
      <w:hyperlink w:anchor="_Toc374518259" w:history="1">
        <w:r w:rsidRPr="00D91F19">
          <w:rPr>
            <w:rStyle w:val="Hyperlink"/>
            <w:noProof/>
            <w:lang w:eastAsia="en-CA"/>
          </w:rPr>
          <w:t>Comparative Analysis</w:t>
        </w:r>
        <w:r>
          <w:rPr>
            <w:noProof/>
            <w:webHidden/>
          </w:rPr>
          <w:tab/>
        </w:r>
        <w:r>
          <w:rPr>
            <w:noProof/>
            <w:webHidden/>
          </w:rPr>
          <w:fldChar w:fldCharType="begin"/>
        </w:r>
        <w:r>
          <w:rPr>
            <w:noProof/>
            <w:webHidden/>
          </w:rPr>
          <w:instrText xml:space="preserve"> PAGEREF _Toc374518259 \h </w:instrText>
        </w:r>
        <w:r>
          <w:rPr>
            <w:noProof/>
            <w:webHidden/>
          </w:rPr>
        </w:r>
        <w:r>
          <w:rPr>
            <w:noProof/>
            <w:webHidden/>
          </w:rPr>
          <w:fldChar w:fldCharType="separate"/>
        </w:r>
        <w:r>
          <w:rPr>
            <w:noProof/>
            <w:webHidden/>
          </w:rPr>
          <w:t>5</w:t>
        </w:r>
        <w:r>
          <w:rPr>
            <w:noProof/>
            <w:webHidden/>
          </w:rPr>
          <w:fldChar w:fldCharType="end"/>
        </w:r>
      </w:hyperlink>
    </w:p>
    <w:p w:rsidR="00724CA1" w:rsidRDefault="00724CA1">
      <w:pPr>
        <w:pStyle w:val="TOC2"/>
        <w:tabs>
          <w:tab w:val="right" w:leader="dot" w:pos="8630"/>
        </w:tabs>
        <w:rPr>
          <w:rFonts w:asciiTheme="minorHAnsi" w:eastAsiaTheme="minorEastAsia" w:hAnsiTheme="minorHAnsi" w:cstheme="minorBidi"/>
          <w:b w:val="0"/>
          <w:bCs w:val="0"/>
          <w:noProof/>
          <w:sz w:val="22"/>
          <w:szCs w:val="22"/>
          <w:lang w:val="en-CA" w:eastAsia="en-CA"/>
        </w:rPr>
      </w:pPr>
      <w:hyperlink w:anchor="_Toc374518260" w:history="1">
        <w:r w:rsidRPr="00D91F19">
          <w:rPr>
            <w:rStyle w:val="Hyperlink"/>
            <w:noProof/>
          </w:rPr>
          <w:t>Overall Performance</w:t>
        </w:r>
        <w:r>
          <w:rPr>
            <w:noProof/>
            <w:webHidden/>
          </w:rPr>
          <w:tab/>
        </w:r>
        <w:r>
          <w:rPr>
            <w:noProof/>
            <w:webHidden/>
          </w:rPr>
          <w:fldChar w:fldCharType="begin"/>
        </w:r>
        <w:r>
          <w:rPr>
            <w:noProof/>
            <w:webHidden/>
          </w:rPr>
          <w:instrText xml:space="preserve"> PAGEREF _Toc374518260 \h </w:instrText>
        </w:r>
        <w:r>
          <w:rPr>
            <w:noProof/>
            <w:webHidden/>
          </w:rPr>
        </w:r>
        <w:r>
          <w:rPr>
            <w:noProof/>
            <w:webHidden/>
          </w:rPr>
          <w:fldChar w:fldCharType="separate"/>
        </w:r>
        <w:r>
          <w:rPr>
            <w:noProof/>
            <w:webHidden/>
          </w:rPr>
          <w:t>5</w:t>
        </w:r>
        <w:r>
          <w:rPr>
            <w:noProof/>
            <w:webHidden/>
          </w:rPr>
          <w:fldChar w:fldCharType="end"/>
        </w:r>
      </w:hyperlink>
    </w:p>
    <w:p w:rsidR="00724CA1" w:rsidRDefault="00724CA1">
      <w:pPr>
        <w:pStyle w:val="TOC2"/>
        <w:tabs>
          <w:tab w:val="right" w:leader="dot" w:pos="8630"/>
        </w:tabs>
        <w:rPr>
          <w:rFonts w:asciiTheme="minorHAnsi" w:eastAsiaTheme="minorEastAsia" w:hAnsiTheme="minorHAnsi" w:cstheme="minorBidi"/>
          <w:b w:val="0"/>
          <w:bCs w:val="0"/>
          <w:noProof/>
          <w:sz w:val="22"/>
          <w:szCs w:val="22"/>
          <w:lang w:val="en-CA" w:eastAsia="en-CA"/>
        </w:rPr>
      </w:pPr>
      <w:hyperlink w:anchor="_Toc374518261" w:history="1">
        <w:r w:rsidRPr="00D91F19">
          <w:rPr>
            <w:rStyle w:val="Hyperlink"/>
            <w:noProof/>
            <w:lang w:eastAsia="en-CA"/>
          </w:rPr>
          <w:t>Profitability</w:t>
        </w:r>
        <w:r>
          <w:rPr>
            <w:noProof/>
            <w:webHidden/>
          </w:rPr>
          <w:tab/>
        </w:r>
        <w:r>
          <w:rPr>
            <w:noProof/>
            <w:webHidden/>
          </w:rPr>
          <w:fldChar w:fldCharType="begin"/>
        </w:r>
        <w:r>
          <w:rPr>
            <w:noProof/>
            <w:webHidden/>
          </w:rPr>
          <w:instrText xml:space="preserve"> PAGEREF _Toc374518261 \h </w:instrText>
        </w:r>
        <w:r>
          <w:rPr>
            <w:noProof/>
            <w:webHidden/>
          </w:rPr>
        </w:r>
        <w:r>
          <w:rPr>
            <w:noProof/>
            <w:webHidden/>
          </w:rPr>
          <w:fldChar w:fldCharType="separate"/>
        </w:r>
        <w:r>
          <w:rPr>
            <w:noProof/>
            <w:webHidden/>
          </w:rPr>
          <w:t>8</w:t>
        </w:r>
        <w:r>
          <w:rPr>
            <w:noProof/>
            <w:webHidden/>
          </w:rPr>
          <w:fldChar w:fldCharType="end"/>
        </w:r>
      </w:hyperlink>
    </w:p>
    <w:p w:rsidR="00724CA1" w:rsidRDefault="00724CA1">
      <w:pPr>
        <w:pStyle w:val="TOC2"/>
        <w:tabs>
          <w:tab w:val="right" w:leader="dot" w:pos="8630"/>
        </w:tabs>
        <w:rPr>
          <w:rFonts w:asciiTheme="minorHAnsi" w:eastAsiaTheme="minorEastAsia" w:hAnsiTheme="minorHAnsi" w:cstheme="minorBidi"/>
          <w:b w:val="0"/>
          <w:bCs w:val="0"/>
          <w:noProof/>
          <w:sz w:val="22"/>
          <w:szCs w:val="22"/>
          <w:lang w:val="en-CA" w:eastAsia="en-CA"/>
        </w:rPr>
      </w:pPr>
      <w:hyperlink w:anchor="_Toc374518262" w:history="1">
        <w:r w:rsidRPr="00D91F19">
          <w:rPr>
            <w:rStyle w:val="Hyperlink"/>
            <w:noProof/>
            <w:lang w:eastAsia="en-CA"/>
          </w:rPr>
          <w:t>Investment Utilization</w:t>
        </w:r>
        <w:r>
          <w:rPr>
            <w:noProof/>
            <w:webHidden/>
          </w:rPr>
          <w:tab/>
        </w:r>
        <w:r>
          <w:rPr>
            <w:noProof/>
            <w:webHidden/>
          </w:rPr>
          <w:fldChar w:fldCharType="begin"/>
        </w:r>
        <w:r>
          <w:rPr>
            <w:noProof/>
            <w:webHidden/>
          </w:rPr>
          <w:instrText xml:space="preserve"> PAGEREF _Toc374518262 \h </w:instrText>
        </w:r>
        <w:r>
          <w:rPr>
            <w:noProof/>
            <w:webHidden/>
          </w:rPr>
        </w:r>
        <w:r>
          <w:rPr>
            <w:noProof/>
            <w:webHidden/>
          </w:rPr>
          <w:fldChar w:fldCharType="separate"/>
        </w:r>
        <w:r>
          <w:rPr>
            <w:noProof/>
            <w:webHidden/>
          </w:rPr>
          <w:t>10</w:t>
        </w:r>
        <w:r>
          <w:rPr>
            <w:noProof/>
            <w:webHidden/>
          </w:rPr>
          <w:fldChar w:fldCharType="end"/>
        </w:r>
      </w:hyperlink>
    </w:p>
    <w:p w:rsidR="00724CA1" w:rsidRDefault="00724CA1">
      <w:pPr>
        <w:pStyle w:val="TOC3"/>
        <w:tabs>
          <w:tab w:val="right" w:leader="dot" w:pos="8630"/>
        </w:tabs>
        <w:rPr>
          <w:rFonts w:asciiTheme="minorHAnsi" w:eastAsiaTheme="minorEastAsia" w:hAnsiTheme="minorHAnsi" w:cstheme="minorBidi"/>
          <w:noProof/>
          <w:sz w:val="22"/>
          <w:szCs w:val="22"/>
          <w:lang w:val="en-CA" w:eastAsia="en-CA"/>
        </w:rPr>
      </w:pPr>
      <w:hyperlink w:anchor="_Toc374518263" w:history="1">
        <w:r w:rsidRPr="00D91F19">
          <w:rPr>
            <w:rStyle w:val="Hyperlink"/>
            <w:noProof/>
          </w:rPr>
          <w:t>Return on Investment</w:t>
        </w:r>
        <w:r>
          <w:rPr>
            <w:noProof/>
            <w:webHidden/>
          </w:rPr>
          <w:tab/>
        </w:r>
        <w:r>
          <w:rPr>
            <w:noProof/>
            <w:webHidden/>
          </w:rPr>
          <w:fldChar w:fldCharType="begin"/>
        </w:r>
        <w:r>
          <w:rPr>
            <w:noProof/>
            <w:webHidden/>
          </w:rPr>
          <w:instrText xml:space="preserve"> PAGEREF _Toc374518263 \h </w:instrText>
        </w:r>
        <w:r>
          <w:rPr>
            <w:noProof/>
            <w:webHidden/>
          </w:rPr>
        </w:r>
        <w:r>
          <w:rPr>
            <w:noProof/>
            <w:webHidden/>
          </w:rPr>
          <w:fldChar w:fldCharType="separate"/>
        </w:r>
        <w:r>
          <w:rPr>
            <w:noProof/>
            <w:webHidden/>
          </w:rPr>
          <w:t>11</w:t>
        </w:r>
        <w:r>
          <w:rPr>
            <w:noProof/>
            <w:webHidden/>
          </w:rPr>
          <w:fldChar w:fldCharType="end"/>
        </w:r>
      </w:hyperlink>
    </w:p>
    <w:p w:rsidR="00724CA1" w:rsidRDefault="00724CA1">
      <w:pPr>
        <w:pStyle w:val="TOC3"/>
        <w:tabs>
          <w:tab w:val="right" w:leader="dot" w:pos="8630"/>
        </w:tabs>
        <w:rPr>
          <w:rFonts w:asciiTheme="minorHAnsi" w:eastAsiaTheme="minorEastAsia" w:hAnsiTheme="minorHAnsi" w:cstheme="minorBidi"/>
          <w:noProof/>
          <w:sz w:val="22"/>
          <w:szCs w:val="22"/>
          <w:lang w:val="en-CA" w:eastAsia="en-CA"/>
        </w:rPr>
      </w:pPr>
      <w:hyperlink w:anchor="_Toc374518264" w:history="1">
        <w:r w:rsidRPr="00D91F19">
          <w:rPr>
            <w:rStyle w:val="Hyperlink"/>
            <w:noProof/>
          </w:rPr>
          <w:t>Operating Cycle Performance</w:t>
        </w:r>
        <w:r>
          <w:rPr>
            <w:noProof/>
            <w:webHidden/>
          </w:rPr>
          <w:tab/>
        </w:r>
        <w:r>
          <w:rPr>
            <w:noProof/>
            <w:webHidden/>
          </w:rPr>
          <w:fldChar w:fldCharType="begin"/>
        </w:r>
        <w:r>
          <w:rPr>
            <w:noProof/>
            <w:webHidden/>
          </w:rPr>
          <w:instrText xml:space="preserve"> PAGEREF _Toc374518264 \h </w:instrText>
        </w:r>
        <w:r>
          <w:rPr>
            <w:noProof/>
            <w:webHidden/>
          </w:rPr>
        </w:r>
        <w:r>
          <w:rPr>
            <w:noProof/>
            <w:webHidden/>
          </w:rPr>
          <w:fldChar w:fldCharType="separate"/>
        </w:r>
        <w:r>
          <w:rPr>
            <w:noProof/>
            <w:webHidden/>
          </w:rPr>
          <w:t>14</w:t>
        </w:r>
        <w:r>
          <w:rPr>
            <w:noProof/>
            <w:webHidden/>
          </w:rPr>
          <w:fldChar w:fldCharType="end"/>
        </w:r>
      </w:hyperlink>
    </w:p>
    <w:p w:rsidR="00724CA1" w:rsidRDefault="00724CA1">
      <w:pPr>
        <w:pStyle w:val="TOC3"/>
        <w:tabs>
          <w:tab w:val="right" w:leader="dot" w:pos="8630"/>
        </w:tabs>
        <w:rPr>
          <w:rFonts w:asciiTheme="minorHAnsi" w:eastAsiaTheme="minorEastAsia" w:hAnsiTheme="minorHAnsi" w:cstheme="minorBidi"/>
          <w:noProof/>
          <w:sz w:val="22"/>
          <w:szCs w:val="22"/>
          <w:lang w:val="en-CA" w:eastAsia="en-CA"/>
        </w:rPr>
      </w:pPr>
      <w:hyperlink w:anchor="_Toc374518265" w:history="1">
        <w:r w:rsidRPr="00D91F19">
          <w:rPr>
            <w:rStyle w:val="Hyperlink"/>
            <w:noProof/>
          </w:rPr>
          <w:t>Investment Utilization Summary</w:t>
        </w:r>
        <w:r>
          <w:rPr>
            <w:noProof/>
            <w:webHidden/>
          </w:rPr>
          <w:tab/>
        </w:r>
        <w:r>
          <w:rPr>
            <w:noProof/>
            <w:webHidden/>
          </w:rPr>
          <w:fldChar w:fldCharType="begin"/>
        </w:r>
        <w:r>
          <w:rPr>
            <w:noProof/>
            <w:webHidden/>
          </w:rPr>
          <w:instrText xml:space="preserve"> PAGEREF _Toc374518265 \h </w:instrText>
        </w:r>
        <w:r>
          <w:rPr>
            <w:noProof/>
            <w:webHidden/>
          </w:rPr>
        </w:r>
        <w:r>
          <w:rPr>
            <w:noProof/>
            <w:webHidden/>
          </w:rPr>
          <w:fldChar w:fldCharType="separate"/>
        </w:r>
        <w:r>
          <w:rPr>
            <w:noProof/>
            <w:webHidden/>
          </w:rPr>
          <w:t>15</w:t>
        </w:r>
        <w:r>
          <w:rPr>
            <w:noProof/>
            <w:webHidden/>
          </w:rPr>
          <w:fldChar w:fldCharType="end"/>
        </w:r>
      </w:hyperlink>
    </w:p>
    <w:p w:rsidR="00724CA1" w:rsidRDefault="00724CA1">
      <w:pPr>
        <w:pStyle w:val="TOC2"/>
        <w:tabs>
          <w:tab w:val="right" w:leader="dot" w:pos="8630"/>
        </w:tabs>
        <w:rPr>
          <w:rFonts w:asciiTheme="minorHAnsi" w:eastAsiaTheme="minorEastAsia" w:hAnsiTheme="minorHAnsi" w:cstheme="minorBidi"/>
          <w:b w:val="0"/>
          <w:bCs w:val="0"/>
          <w:noProof/>
          <w:sz w:val="22"/>
          <w:szCs w:val="22"/>
          <w:lang w:val="en-CA" w:eastAsia="en-CA"/>
        </w:rPr>
      </w:pPr>
      <w:hyperlink w:anchor="_Toc374518266" w:history="1">
        <w:r w:rsidRPr="00D91F19">
          <w:rPr>
            <w:rStyle w:val="Hyperlink"/>
            <w:noProof/>
          </w:rPr>
          <w:t>Financial Condition/Liquidity and Solvency</w:t>
        </w:r>
        <w:r>
          <w:rPr>
            <w:noProof/>
            <w:webHidden/>
          </w:rPr>
          <w:tab/>
        </w:r>
        <w:r>
          <w:rPr>
            <w:noProof/>
            <w:webHidden/>
          </w:rPr>
          <w:fldChar w:fldCharType="begin"/>
        </w:r>
        <w:r>
          <w:rPr>
            <w:noProof/>
            <w:webHidden/>
          </w:rPr>
          <w:instrText xml:space="preserve"> PAGEREF _Toc374518266 \h </w:instrText>
        </w:r>
        <w:r>
          <w:rPr>
            <w:noProof/>
            <w:webHidden/>
          </w:rPr>
        </w:r>
        <w:r>
          <w:rPr>
            <w:noProof/>
            <w:webHidden/>
          </w:rPr>
          <w:fldChar w:fldCharType="separate"/>
        </w:r>
        <w:r>
          <w:rPr>
            <w:noProof/>
            <w:webHidden/>
          </w:rPr>
          <w:t>15</w:t>
        </w:r>
        <w:r>
          <w:rPr>
            <w:noProof/>
            <w:webHidden/>
          </w:rPr>
          <w:fldChar w:fldCharType="end"/>
        </w:r>
      </w:hyperlink>
    </w:p>
    <w:p w:rsidR="00724CA1" w:rsidRDefault="00724CA1">
      <w:pPr>
        <w:pStyle w:val="TOC3"/>
        <w:tabs>
          <w:tab w:val="right" w:leader="dot" w:pos="8630"/>
        </w:tabs>
        <w:rPr>
          <w:rFonts w:asciiTheme="minorHAnsi" w:eastAsiaTheme="minorEastAsia" w:hAnsiTheme="minorHAnsi" w:cstheme="minorBidi"/>
          <w:noProof/>
          <w:sz w:val="22"/>
          <w:szCs w:val="22"/>
          <w:lang w:val="en-CA" w:eastAsia="en-CA"/>
        </w:rPr>
      </w:pPr>
      <w:hyperlink w:anchor="_Toc374518267" w:history="1">
        <w:r w:rsidRPr="00D91F19">
          <w:rPr>
            <w:rStyle w:val="Hyperlink"/>
            <w:noProof/>
          </w:rPr>
          <w:t>Current Ratio and Acid-Test Ratio</w:t>
        </w:r>
        <w:r>
          <w:rPr>
            <w:noProof/>
            <w:webHidden/>
          </w:rPr>
          <w:tab/>
        </w:r>
        <w:r>
          <w:rPr>
            <w:noProof/>
            <w:webHidden/>
          </w:rPr>
          <w:fldChar w:fldCharType="begin"/>
        </w:r>
        <w:r>
          <w:rPr>
            <w:noProof/>
            <w:webHidden/>
          </w:rPr>
          <w:instrText xml:space="preserve"> PAGEREF _Toc374518267 \h </w:instrText>
        </w:r>
        <w:r>
          <w:rPr>
            <w:noProof/>
            <w:webHidden/>
          </w:rPr>
        </w:r>
        <w:r>
          <w:rPr>
            <w:noProof/>
            <w:webHidden/>
          </w:rPr>
          <w:fldChar w:fldCharType="separate"/>
        </w:r>
        <w:r>
          <w:rPr>
            <w:noProof/>
            <w:webHidden/>
          </w:rPr>
          <w:t>15</w:t>
        </w:r>
        <w:r>
          <w:rPr>
            <w:noProof/>
            <w:webHidden/>
          </w:rPr>
          <w:fldChar w:fldCharType="end"/>
        </w:r>
      </w:hyperlink>
    </w:p>
    <w:p w:rsidR="00724CA1" w:rsidRDefault="00724CA1">
      <w:pPr>
        <w:pStyle w:val="TOC3"/>
        <w:tabs>
          <w:tab w:val="right" w:leader="dot" w:pos="8630"/>
        </w:tabs>
        <w:rPr>
          <w:rFonts w:asciiTheme="minorHAnsi" w:eastAsiaTheme="minorEastAsia" w:hAnsiTheme="minorHAnsi" w:cstheme="minorBidi"/>
          <w:noProof/>
          <w:sz w:val="22"/>
          <w:szCs w:val="22"/>
          <w:lang w:val="en-CA" w:eastAsia="en-CA"/>
        </w:rPr>
      </w:pPr>
      <w:hyperlink w:anchor="_Toc374518268" w:history="1">
        <w:r w:rsidRPr="00D91F19">
          <w:rPr>
            <w:rStyle w:val="Hyperlink"/>
            <w:noProof/>
          </w:rPr>
          <w:t>The Tests of Financial Condition</w:t>
        </w:r>
        <w:r>
          <w:rPr>
            <w:noProof/>
            <w:webHidden/>
          </w:rPr>
          <w:tab/>
        </w:r>
        <w:r>
          <w:rPr>
            <w:noProof/>
            <w:webHidden/>
          </w:rPr>
          <w:fldChar w:fldCharType="begin"/>
        </w:r>
        <w:r>
          <w:rPr>
            <w:noProof/>
            <w:webHidden/>
          </w:rPr>
          <w:instrText xml:space="preserve"> PAGEREF _Toc374518268 \h </w:instrText>
        </w:r>
        <w:r>
          <w:rPr>
            <w:noProof/>
            <w:webHidden/>
          </w:rPr>
        </w:r>
        <w:r>
          <w:rPr>
            <w:noProof/>
            <w:webHidden/>
          </w:rPr>
          <w:fldChar w:fldCharType="separate"/>
        </w:r>
        <w:r>
          <w:rPr>
            <w:noProof/>
            <w:webHidden/>
          </w:rPr>
          <w:t>17</w:t>
        </w:r>
        <w:r>
          <w:rPr>
            <w:noProof/>
            <w:webHidden/>
          </w:rPr>
          <w:fldChar w:fldCharType="end"/>
        </w:r>
      </w:hyperlink>
    </w:p>
    <w:p w:rsidR="00724CA1" w:rsidRDefault="00724CA1">
      <w:pPr>
        <w:pStyle w:val="TOC3"/>
        <w:tabs>
          <w:tab w:val="right" w:leader="dot" w:pos="8630"/>
        </w:tabs>
        <w:rPr>
          <w:rFonts w:asciiTheme="minorHAnsi" w:eastAsiaTheme="minorEastAsia" w:hAnsiTheme="minorHAnsi" w:cstheme="minorBidi"/>
          <w:noProof/>
          <w:sz w:val="22"/>
          <w:szCs w:val="22"/>
          <w:lang w:val="en-CA" w:eastAsia="en-CA"/>
        </w:rPr>
      </w:pPr>
      <w:hyperlink w:anchor="_Toc374518269" w:history="1">
        <w:r w:rsidRPr="00D91F19">
          <w:rPr>
            <w:rStyle w:val="Hyperlink"/>
            <w:noProof/>
          </w:rPr>
          <w:t>Cash Generated by Operations/Total Debt</w:t>
        </w:r>
        <w:r>
          <w:rPr>
            <w:noProof/>
            <w:webHidden/>
          </w:rPr>
          <w:tab/>
        </w:r>
        <w:r>
          <w:rPr>
            <w:noProof/>
            <w:webHidden/>
          </w:rPr>
          <w:fldChar w:fldCharType="begin"/>
        </w:r>
        <w:r>
          <w:rPr>
            <w:noProof/>
            <w:webHidden/>
          </w:rPr>
          <w:instrText xml:space="preserve"> PAGEREF _Toc374518269 \h </w:instrText>
        </w:r>
        <w:r>
          <w:rPr>
            <w:noProof/>
            <w:webHidden/>
          </w:rPr>
        </w:r>
        <w:r>
          <w:rPr>
            <w:noProof/>
            <w:webHidden/>
          </w:rPr>
          <w:fldChar w:fldCharType="separate"/>
        </w:r>
        <w:r>
          <w:rPr>
            <w:noProof/>
            <w:webHidden/>
          </w:rPr>
          <w:t>18</w:t>
        </w:r>
        <w:r>
          <w:rPr>
            <w:noProof/>
            <w:webHidden/>
          </w:rPr>
          <w:fldChar w:fldCharType="end"/>
        </w:r>
      </w:hyperlink>
    </w:p>
    <w:p w:rsidR="00724CA1" w:rsidRDefault="00724CA1">
      <w:pPr>
        <w:pStyle w:val="TOC2"/>
        <w:tabs>
          <w:tab w:val="right" w:leader="dot" w:pos="8630"/>
        </w:tabs>
        <w:rPr>
          <w:rFonts w:asciiTheme="minorHAnsi" w:eastAsiaTheme="minorEastAsia" w:hAnsiTheme="minorHAnsi" w:cstheme="minorBidi"/>
          <w:b w:val="0"/>
          <w:bCs w:val="0"/>
          <w:noProof/>
          <w:sz w:val="22"/>
          <w:szCs w:val="22"/>
          <w:lang w:val="en-CA" w:eastAsia="en-CA"/>
        </w:rPr>
      </w:pPr>
      <w:hyperlink w:anchor="_Toc374518270" w:history="1">
        <w:r w:rsidRPr="00D91F19">
          <w:rPr>
            <w:rStyle w:val="Hyperlink"/>
            <w:noProof/>
            <w:lang w:eastAsia="en-CA"/>
          </w:rPr>
          <w:t>Dividend Policy</w:t>
        </w:r>
        <w:r>
          <w:rPr>
            <w:noProof/>
            <w:webHidden/>
          </w:rPr>
          <w:tab/>
        </w:r>
        <w:r>
          <w:rPr>
            <w:noProof/>
            <w:webHidden/>
          </w:rPr>
          <w:fldChar w:fldCharType="begin"/>
        </w:r>
        <w:r>
          <w:rPr>
            <w:noProof/>
            <w:webHidden/>
          </w:rPr>
          <w:instrText xml:space="preserve"> PAGEREF _Toc374518270 \h </w:instrText>
        </w:r>
        <w:r>
          <w:rPr>
            <w:noProof/>
            <w:webHidden/>
          </w:rPr>
        </w:r>
        <w:r>
          <w:rPr>
            <w:noProof/>
            <w:webHidden/>
          </w:rPr>
          <w:fldChar w:fldCharType="separate"/>
        </w:r>
        <w:r>
          <w:rPr>
            <w:noProof/>
            <w:webHidden/>
          </w:rPr>
          <w:t>19</w:t>
        </w:r>
        <w:r>
          <w:rPr>
            <w:noProof/>
            <w:webHidden/>
          </w:rPr>
          <w:fldChar w:fldCharType="end"/>
        </w:r>
      </w:hyperlink>
    </w:p>
    <w:p w:rsidR="00724CA1" w:rsidRDefault="00724CA1">
      <w:pPr>
        <w:pStyle w:val="TOC1"/>
        <w:tabs>
          <w:tab w:val="right" w:leader="dot" w:pos="8630"/>
        </w:tabs>
        <w:rPr>
          <w:rFonts w:asciiTheme="minorHAnsi" w:eastAsiaTheme="minorEastAsia" w:hAnsiTheme="minorHAnsi" w:cstheme="minorBidi"/>
          <w:b w:val="0"/>
          <w:bCs w:val="0"/>
          <w:noProof/>
          <w:lang w:val="en-CA" w:eastAsia="en-CA"/>
        </w:rPr>
      </w:pPr>
      <w:hyperlink w:anchor="_Toc374518271" w:history="1">
        <w:r w:rsidRPr="00D91F19">
          <w:rPr>
            <w:rStyle w:val="Hyperlink"/>
            <w:noProof/>
          </w:rPr>
          <w:t>Recommendation</w:t>
        </w:r>
        <w:r>
          <w:rPr>
            <w:noProof/>
            <w:webHidden/>
          </w:rPr>
          <w:tab/>
        </w:r>
        <w:r>
          <w:rPr>
            <w:noProof/>
            <w:webHidden/>
          </w:rPr>
          <w:fldChar w:fldCharType="begin"/>
        </w:r>
        <w:r>
          <w:rPr>
            <w:noProof/>
            <w:webHidden/>
          </w:rPr>
          <w:instrText xml:space="preserve"> PAGEREF _Toc374518271 \h </w:instrText>
        </w:r>
        <w:r>
          <w:rPr>
            <w:noProof/>
            <w:webHidden/>
          </w:rPr>
        </w:r>
        <w:r>
          <w:rPr>
            <w:noProof/>
            <w:webHidden/>
          </w:rPr>
          <w:fldChar w:fldCharType="separate"/>
        </w:r>
        <w:r>
          <w:rPr>
            <w:noProof/>
            <w:webHidden/>
          </w:rPr>
          <w:t>22</w:t>
        </w:r>
        <w:r>
          <w:rPr>
            <w:noProof/>
            <w:webHidden/>
          </w:rPr>
          <w:fldChar w:fldCharType="end"/>
        </w:r>
      </w:hyperlink>
    </w:p>
    <w:p w:rsidR="00724CA1" w:rsidRDefault="00724CA1">
      <w:pPr>
        <w:pStyle w:val="TOC1"/>
        <w:tabs>
          <w:tab w:val="right" w:leader="dot" w:pos="8630"/>
        </w:tabs>
        <w:rPr>
          <w:rFonts w:asciiTheme="minorHAnsi" w:eastAsiaTheme="minorEastAsia" w:hAnsiTheme="minorHAnsi" w:cstheme="minorBidi"/>
          <w:b w:val="0"/>
          <w:bCs w:val="0"/>
          <w:noProof/>
          <w:lang w:val="en-CA" w:eastAsia="en-CA"/>
        </w:rPr>
      </w:pPr>
      <w:hyperlink w:anchor="_Toc374518272" w:history="1">
        <w:r w:rsidRPr="00D91F19">
          <w:rPr>
            <w:rStyle w:val="Hyperlink"/>
            <w:noProof/>
            <w:lang w:eastAsia="en-CA"/>
          </w:rPr>
          <w:t>References</w:t>
        </w:r>
        <w:r>
          <w:rPr>
            <w:noProof/>
            <w:webHidden/>
          </w:rPr>
          <w:tab/>
        </w:r>
        <w:r>
          <w:rPr>
            <w:noProof/>
            <w:webHidden/>
          </w:rPr>
          <w:fldChar w:fldCharType="begin"/>
        </w:r>
        <w:r>
          <w:rPr>
            <w:noProof/>
            <w:webHidden/>
          </w:rPr>
          <w:instrText xml:space="preserve"> PAGEREF _Toc374518272 \h </w:instrText>
        </w:r>
        <w:r>
          <w:rPr>
            <w:noProof/>
            <w:webHidden/>
          </w:rPr>
        </w:r>
        <w:r>
          <w:rPr>
            <w:noProof/>
            <w:webHidden/>
          </w:rPr>
          <w:fldChar w:fldCharType="separate"/>
        </w:r>
        <w:r>
          <w:rPr>
            <w:noProof/>
            <w:webHidden/>
          </w:rPr>
          <w:t>23</w:t>
        </w:r>
        <w:r>
          <w:rPr>
            <w:noProof/>
            <w:webHidden/>
          </w:rPr>
          <w:fldChar w:fldCharType="end"/>
        </w:r>
      </w:hyperlink>
    </w:p>
    <w:p w:rsidR="00724CA1" w:rsidRDefault="00724CA1">
      <w:pPr>
        <w:pStyle w:val="TOC1"/>
        <w:tabs>
          <w:tab w:val="right" w:leader="dot" w:pos="8630"/>
        </w:tabs>
        <w:rPr>
          <w:rFonts w:asciiTheme="minorHAnsi" w:eastAsiaTheme="minorEastAsia" w:hAnsiTheme="minorHAnsi" w:cstheme="minorBidi"/>
          <w:b w:val="0"/>
          <w:bCs w:val="0"/>
          <w:noProof/>
          <w:lang w:val="en-CA" w:eastAsia="en-CA"/>
        </w:rPr>
      </w:pPr>
      <w:hyperlink w:anchor="_Toc374518273" w:history="1">
        <w:r w:rsidRPr="00D91F19">
          <w:rPr>
            <w:rStyle w:val="Hyperlink"/>
            <w:noProof/>
            <w:lang w:eastAsia="en-CA"/>
          </w:rPr>
          <w:t>Appendix A</w:t>
        </w:r>
        <w:r>
          <w:rPr>
            <w:noProof/>
            <w:webHidden/>
          </w:rPr>
          <w:tab/>
        </w:r>
        <w:r>
          <w:rPr>
            <w:noProof/>
            <w:webHidden/>
          </w:rPr>
          <w:fldChar w:fldCharType="begin"/>
        </w:r>
        <w:r>
          <w:rPr>
            <w:noProof/>
            <w:webHidden/>
          </w:rPr>
          <w:instrText xml:space="preserve"> PAGEREF _Toc374518273 \h </w:instrText>
        </w:r>
        <w:r>
          <w:rPr>
            <w:noProof/>
            <w:webHidden/>
          </w:rPr>
        </w:r>
        <w:r>
          <w:rPr>
            <w:noProof/>
            <w:webHidden/>
          </w:rPr>
          <w:fldChar w:fldCharType="separate"/>
        </w:r>
        <w:r>
          <w:rPr>
            <w:noProof/>
            <w:webHidden/>
          </w:rPr>
          <w:t>24</w:t>
        </w:r>
        <w:r>
          <w:rPr>
            <w:noProof/>
            <w:webHidden/>
          </w:rPr>
          <w:fldChar w:fldCharType="end"/>
        </w:r>
      </w:hyperlink>
    </w:p>
    <w:p w:rsidR="00724CA1" w:rsidRDefault="00724CA1">
      <w:pPr>
        <w:pStyle w:val="TOC1"/>
        <w:tabs>
          <w:tab w:val="right" w:leader="dot" w:pos="8630"/>
        </w:tabs>
        <w:rPr>
          <w:rFonts w:asciiTheme="minorHAnsi" w:eastAsiaTheme="minorEastAsia" w:hAnsiTheme="minorHAnsi" w:cstheme="minorBidi"/>
          <w:b w:val="0"/>
          <w:bCs w:val="0"/>
          <w:noProof/>
          <w:lang w:val="en-CA" w:eastAsia="en-CA"/>
        </w:rPr>
      </w:pPr>
      <w:hyperlink w:anchor="_Toc374518274" w:history="1">
        <w:r w:rsidRPr="00D91F19">
          <w:rPr>
            <w:rStyle w:val="Hyperlink"/>
            <w:noProof/>
            <w:lang w:eastAsia="en-CA"/>
          </w:rPr>
          <w:t>Appendix B</w:t>
        </w:r>
        <w:r>
          <w:rPr>
            <w:noProof/>
            <w:webHidden/>
          </w:rPr>
          <w:tab/>
        </w:r>
        <w:r>
          <w:rPr>
            <w:noProof/>
            <w:webHidden/>
          </w:rPr>
          <w:fldChar w:fldCharType="begin"/>
        </w:r>
        <w:r>
          <w:rPr>
            <w:noProof/>
            <w:webHidden/>
          </w:rPr>
          <w:instrText xml:space="preserve"> PAGEREF _Toc374518274 \h </w:instrText>
        </w:r>
        <w:r>
          <w:rPr>
            <w:noProof/>
            <w:webHidden/>
          </w:rPr>
        </w:r>
        <w:r>
          <w:rPr>
            <w:noProof/>
            <w:webHidden/>
          </w:rPr>
          <w:fldChar w:fldCharType="separate"/>
        </w:r>
        <w:r>
          <w:rPr>
            <w:noProof/>
            <w:webHidden/>
          </w:rPr>
          <w:t>27</w:t>
        </w:r>
        <w:r>
          <w:rPr>
            <w:noProof/>
            <w:webHidden/>
          </w:rPr>
          <w:fldChar w:fldCharType="end"/>
        </w:r>
      </w:hyperlink>
    </w:p>
    <w:p w:rsidR="00596D1E" w:rsidRPr="008375C6" w:rsidRDefault="00724CA1" w:rsidP="00596D1E">
      <w:pPr>
        <w:pStyle w:val="Heading1"/>
        <w:rPr>
          <w:lang w:eastAsia="en-CA"/>
        </w:rPr>
      </w:pPr>
      <w:r>
        <w:rPr>
          <w:rFonts w:ascii="Arial" w:hAnsi="Arial"/>
          <w:b/>
          <w:szCs w:val="22"/>
          <w:lang w:eastAsia="en-CA"/>
        </w:rPr>
        <w:lastRenderedPageBreak/>
        <w:fldChar w:fldCharType="end"/>
      </w:r>
      <w:bookmarkStart w:id="6" w:name="_Toc374518253"/>
      <w:bookmarkStart w:id="7" w:name="_GoBack"/>
      <w:bookmarkEnd w:id="7"/>
      <w:r w:rsidR="00C1044A">
        <w:rPr>
          <w:lang w:eastAsia="en-CA"/>
        </w:rPr>
        <w:t xml:space="preserve">The Telecommunications </w:t>
      </w:r>
      <w:r w:rsidR="00596D1E">
        <w:rPr>
          <w:lang w:eastAsia="en-CA"/>
        </w:rPr>
        <w:t>Industry</w:t>
      </w:r>
      <w:bookmarkEnd w:id="6"/>
    </w:p>
    <w:p w:rsidR="00C1044A" w:rsidRDefault="00C1044A" w:rsidP="00C1044A">
      <w:pPr>
        <w:pStyle w:val="Heading2"/>
        <w:rPr>
          <w:lang w:eastAsia="en-CA"/>
        </w:rPr>
      </w:pPr>
      <w:bookmarkStart w:id="8" w:name="_Toc374518254"/>
      <w:r>
        <w:rPr>
          <w:lang w:eastAsia="en-CA"/>
        </w:rPr>
        <w:t>Industry Overview</w:t>
      </w:r>
      <w:bookmarkEnd w:id="8"/>
    </w:p>
    <w:p w:rsidR="00A72CEC" w:rsidRPr="00C1044A" w:rsidRDefault="00A72CEC" w:rsidP="00E713B2">
      <w:pPr>
        <w:rPr>
          <w:lang w:eastAsia="en-CA"/>
        </w:rPr>
      </w:pPr>
      <w:r>
        <w:rPr>
          <w:lang w:eastAsia="en-CA"/>
        </w:rPr>
        <w:t xml:space="preserve">As wireless communication has grown to be an integral part of Canadians’ lives </w:t>
      </w:r>
      <w:r w:rsidRPr="00C1044A">
        <w:rPr>
          <w:lang w:eastAsia="en-CA"/>
        </w:rPr>
        <w:t>over the past three decades, in</w:t>
      </w:r>
      <w:r w:rsidR="00C1044A" w:rsidRPr="00C1044A">
        <w:rPr>
          <w:lang w:eastAsia="en-CA"/>
        </w:rPr>
        <w:t>vestor interest</w:t>
      </w:r>
      <w:r w:rsidRPr="00C1044A">
        <w:rPr>
          <w:lang w:eastAsia="en-CA"/>
        </w:rPr>
        <w:t xml:space="preserve"> in the telecommunications industry</w:t>
      </w:r>
      <w:r w:rsidR="00C1044A" w:rsidRPr="00C1044A">
        <w:rPr>
          <w:lang w:eastAsia="en-CA"/>
        </w:rPr>
        <w:t xml:space="preserve"> </w:t>
      </w:r>
      <w:r w:rsidR="00C1044A">
        <w:rPr>
          <w:lang w:eastAsia="en-CA"/>
        </w:rPr>
        <w:t>h</w:t>
      </w:r>
      <w:r w:rsidR="00C1044A" w:rsidRPr="00C1044A">
        <w:rPr>
          <w:lang w:eastAsia="en-CA"/>
        </w:rPr>
        <w:t>as also grown.</w:t>
      </w:r>
    </w:p>
    <w:p w:rsidR="00C1044A" w:rsidRDefault="00C1044A" w:rsidP="00E713B2">
      <w:pPr>
        <w:rPr>
          <w:lang w:eastAsia="en-CA"/>
        </w:rPr>
      </w:pPr>
      <w:r>
        <w:rPr>
          <w:lang w:eastAsia="en-CA"/>
        </w:rPr>
        <w:t>Interest in the industry has been driven by impressive growth and technological development</w:t>
      </w:r>
      <w:r w:rsidR="001A5458">
        <w:rPr>
          <w:lang w:eastAsia="en-CA"/>
        </w:rPr>
        <w:t xml:space="preserve"> which included in 2011</w:t>
      </w:r>
      <w:r>
        <w:rPr>
          <w:lang w:eastAsia="en-CA"/>
        </w:rPr>
        <w:t>, a</w:t>
      </w:r>
      <w:r w:rsidRPr="00C1044A">
        <w:rPr>
          <w:lang w:eastAsia="en-CA"/>
        </w:rPr>
        <w:t xml:space="preserve">ccording </w:t>
      </w:r>
      <w:r w:rsidRPr="00C1044A">
        <w:t xml:space="preserve">to the Canadian Wireless Telecommunications Association </w:t>
      </w:r>
      <w:r>
        <w:t>(</w:t>
      </w:r>
      <w:r w:rsidRPr="00C1044A">
        <w:t>CWTA</w:t>
      </w:r>
      <w:r>
        <w:t>)</w:t>
      </w:r>
      <w:r w:rsidR="004E2EB0">
        <w:t xml:space="preserve"> </w:t>
      </w:r>
      <w:r w:rsidR="004E2EB0" w:rsidRPr="004E2EB0">
        <w:rPr>
          <w:rStyle w:val="SubtleEmphasis"/>
        </w:rPr>
        <w:t xml:space="preserve">(CWTA, </w:t>
      </w:r>
      <w:hyperlink r:id="rId13" w:history="1">
        <w:r w:rsidR="004E2EB0" w:rsidRPr="004E2EB0">
          <w:rPr>
            <w:rStyle w:val="SubtleEmphasis"/>
          </w:rPr>
          <w:t>http://cwta.ca/facts-figures/</w:t>
        </w:r>
      </w:hyperlink>
      <w:r w:rsidR="004E2EB0" w:rsidRPr="004E2EB0">
        <w:rPr>
          <w:rStyle w:val="SubtleEmphasis"/>
        </w:rPr>
        <w:t>)</w:t>
      </w:r>
      <w:r>
        <w:rPr>
          <w:lang w:eastAsia="en-CA"/>
        </w:rPr>
        <w:t>:</w:t>
      </w:r>
    </w:p>
    <w:p w:rsidR="00C1044A" w:rsidRDefault="00C1044A" w:rsidP="00E713B2">
      <w:pPr>
        <w:pStyle w:val="ListParagraph"/>
        <w:numPr>
          <w:ilvl w:val="0"/>
          <w:numId w:val="49"/>
        </w:numPr>
        <w:rPr>
          <w:lang w:eastAsia="en-CA"/>
        </w:rPr>
      </w:pPr>
      <w:r>
        <w:rPr>
          <w:lang w:eastAsia="en-CA"/>
        </w:rPr>
        <w:t>Over two dozen wireless service providers</w:t>
      </w:r>
    </w:p>
    <w:p w:rsidR="00C1044A" w:rsidRPr="00C1044A" w:rsidRDefault="00C1044A" w:rsidP="00E713B2">
      <w:pPr>
        <w:pStyle w:val="ListParagraph"/>
        <w:numPr>
          <w:ilvl w:val="0"/>
          <w:numId w:val="50"/>
        </w:numPr>
      </w:pPr>
      <w:r w:rsidRPr="00C1044A">
        <w:t>Over 27 million subscribers</w:t>
      </w:r>
    </w:p>
    <w:p w:rsidR="00C1044A" w:rsidRPr="00C1044A" w:rsidRDefault="001A5458" w:rsidP="00E713B2">
      <w:pPr>
        <w:pStyle w:val="ListParagraph"/>
        <w:numPr>
          <w:ilvl w:val="0"/>
          <w:numId w:val="50"/>
        </w:numPr>
        <w:rPr>
          <w:szCs w:val="21"/>
          <w:shd w:val="clear" w:color="auto" w:fill="FFFFFF"/>
        </w:rPr>
      </w:pPr>
      <w:r>
        <w:rPr>
          <w:szCs w:val="21"/>
          <w:shd w:val="clear" w:color="auto" w:fill="FFFFFF"/>
        </w:rPr>
        <w:t>Over 308</w:t>
      </w:r>
      <w:r w:rsidR="00C1044A" w:rsidRPr="00C1044A">
        <w:rPr>
          <w:szCs w:val="21"/>
          <w:shd w:val="clear" w:color="auto" w:fill="FFFFFF"/>
        </w:rPr>
        <w:t xml:space="preserve">,000 </w:t>
      </w:r>
      <w:r>
        <w:rPr>
          <w:szCs w:val="21"/>
          <w:shd w:val="clear" w:color="auto" w:fill="FFFFFF"/>
        </w:rPr>
        <w:t xml:space="preserve">direct and indirect </w:t>
      </w:r>
      <w:r w:rsidR="00C1044A">
        <w:rPr>
          <w:szCs w:val="21"/>
          <w:shd w:val="clear" w:color="auto" w:fill="FFFFFF"/>
        </w:rPr>
        <w:t>job</w:t>
      </w:r>
      <w:r>
        <w:rPr>
          <w:szCs w:val="21"/>
          <w:shd w:val="clear" w:color="auto" w:fill="FFFFFF"/>
        </w:rPr>
        <w:t>s</w:t>
      </w:r>
      <w:r w:rsidR="00C1044A">
        <w:rPr>
          <w:szCs w:val="21"/>
          <w:shd w:val="clear" w:color="auto" w:fill="FFFFFF"/>
        </w:rPr>
        <w:t xml:space="preserve"> with a</w:t>
      </w:r>
      <w:r w:rsidR="00C1044A" w:rsidRPr="00C1044A">
        <w:rPr>
          <w:szCs w:val="21"/>
          <w:shd w:val="clear" w:color="auto" w:fill="FFFFFF"/>
        </w:rPr>
        <w:t>n average salary level of over $65,000, compared to a Canadian average salary of $46,000</w:t>
      </w:r>
    </w:p>
    <w:p w:rsidR="00C1044A" w:rsidRPr="00C1044A" w:rsidRDefault="00C1044A" w:rsidP="00E713B2">
      <w:pPr>
        <w:pStyle w:val="ListParagraph"/>
        <w:numPr>
          <w:ilvl w:val="0"/>
          <w:numId w:val="50"/>
        </w:numPr>
      </w:pPr>
      <w:r w:rsidRPr="00C1044A">
        <w:rPr>
          <w:szCs w:val="21"/>
          <w:shd w:val="clear" w:color="auto" w:fill="FFFFFF"/>
        </w:rPr>
        <w:t>A total economic value of $50.2 billion for the Canadian economy</w:t>
      </w:r>
      <w:r w:rsidR="001A5458">
        <w:rPr>
          <w:szCs w:val="21"/>
          <w:shd w:val="clear" w:color="auto" w:fill="FFFFFF"/>
        </w:rPr>
        <w:t xml:space="preserve"> (</w:t>
      </w:r>
      <w:r w:rsidR="001A5458" w:rsidRPr="001A5458">
        <w:rPr>
          <w:szCs w:val="21"/>
          <w:shd w:val="clear" w:color="auto" w:fill="FFFFFF"/>
        </w:rPr>
        <w:t>$20.7 billion in direct GDP</w:t>
      </w:r>
      <w:r w:rsidR="001A5458">
        <w:rPr>
          <w:szCs w:val="21"/>
          <w:shd w:val="clear" w:color="auto" w:fill="FFFFFF"/>
        </w:rPr>
        <w:t>, 64% of which was retained in Canada)</w:t>
      </w:r>
    </w:p>
    <w:p w:rsidR="00C1044A" w:rsidRDefault="000561FD" w:rsidP="001A5458">
      <w:pPr>
        <w:pStyle w:val="Heading2"/>
        <w:rPr>
          <w:lang w:eastAsia="en-CA"/>
        </w:rPr>
      </w:pPr>
      <w:bookmarkStart w:id="9" w:name="_Toc374518255"/>
      <w:r>
        <w:rPr>
          <w:lang w:eastAsia="en-CA"/>
        </w:rPr>
        <w:t xml:space="preserve">Key </w:t>
      </w:r>
      <w:r w:rsidR="001A5458">
        <w:rPr>
          <w:lang w:eastAsia="en-CA"/>
        </w:rPr>
        <w:t>Industry Characteristics</w:t>
      </w:r>
      <w:bookmarkEnd w:id="9"/>
    </w:p>
    <w:p w:rsidR="00227829" w:rsidRDefault="00227829" w:rsidP="00E713B2">
      <w:pPr>
        <w:rPr>
          <w:lang w:eastAsia="en-CA"/>
        </w:rPr>
      </w:pPr>
      <w:r>
        <w:rPr>
          <w:lang w:eastAsia="en-CA"/>
        </w:rPr>
        <w:t xml:space="preserve">The Canadian telecommunications industry is highly oligopolistic. The telecommunications providers may be subdivided into those providing internet, fixed line telecommunications, media, wireless communications, or any combination thereof. </w:t>
      </w:r>
    </w:p>
    <w:p w:rsidR="00596D1E" w:rsidRDefault="004E2EB0" w:rsidP="00E713B2">
      <w:pPr>
        <w:rPr>
          <w:lang w:eastAsia="en-CA"/>
        </w:rPr>
      </w:pPr>
      <w:r>
        <w:rPr>
          <w:lang w:eastAsia="en-CA"/>
        </w:rPr>
        <w:t xml:space="preserve">According to a report by Rogers Communications Inc, in 2012 the Canadian </w:t>
      </w:r>
      <w:r w:rsidR="00227829">
        <w:rPr>
          <w:lang w:eastAsia="en-CA"/>
        </w:rPr>
        <w:t>wireless</w:t>
      </w:r>
      <w:r>
        <w:rPr>
          <w:lang w:eastAsia="en-CA"/>
        </w:rPr>
        <w:t xml:space="preserve"> </w:t>
      </w:r>
      <w:r w:rsidR="00227829">
        <w:rPr>
          <w:lang w:eastAsia="en-CA"/>
        </w:rPr>
        <w:t>sector</w:t>
      </w:r>
      <w:r>
        <w:rPr>
          <w:lang w:eastAsia="en-CA"/>
        </w:rPr>
        <w:t xml:space="preserve"> was dominated by Rogers with 34% of the market, followed by Bell Canada and Telus Corporation, each with 28% of the market. T</w:t>
      </w:r>
      <w:r w:rsidR="00596D1E">
        <w:rPr>
          <w:lang w:eastAsia="en-CA"/>
        </w:rPr>
        <w:t xml:space="preserve">he remaining </w:t>
      </w:r>
      <w:r>
        <w:rPr>
          <w:lang w:eastAsia="en-CA"/>
        </w:rPr>
        <w:t xml:space="preserve">9% of the market is occupied by approximately </w:t>
      </w:r>
      <w:r w:rsidR="00596D1E">
        <w:rPr>
          <w:lang w:eastAsia="en-CA"/>
        </w:rPr>
        <w:t xml:space="preserve">50 </w:t>
      </w:r>
      <w:r>
        <w:rPr>
          <w:lang w:eastAsia="en-CA"/>
        </w:rPr>
        <w:t>l</w:t>
      </w:r>
      <w:r w:rsidR="00596D1E">
        <w:rPr>
          <w:lang w:eastAsia="en-CA"/>
        </w:rPr>
        <w:t>ocal niche players</w:t>
      </w:r>
      <w:r>
        <w:rPr>
          <w:lang w:eastAsia="en-CA"/>
        </w:rPr>
        <w:t xml:space="preserve"> </w:t>
      </w:r>
      <w:r w:rsidRPr="004E2EB0">
        <w:rPr>
          <w:rStyle w:val="SubtleEmphasis"/>
        </w:rPr>
        <w:t xml:space="preserve">(Rogers Wireless Q4 Report, </w:t>
      </w:r>
      <w:hyperlink r:id="rId14" w:history="1">
        <w:r w:rsidRPr="004E2EB0">
          <w:rPr>
            <w:rStyle w:val="SubtleEmphasis"/>
          </w:rPr>
          <w:t>http://www.rogers.com/cms/investor_relations/pdfs/At_A_Glance_Highlights-Rogers_Wireless.pdf</w:t>
        </w:r>
      </w:hyperlink>
      <w:r w:rsidRPr="004E2EB0">
        <w:rPr>
          <w:rStyle w:val="SubtleEmphasis"/>
        </w:rPr>
        <w:t>)</w:t>
      </w:r>
      <w:r w:rsidR="00596D1E" w:rsidRPr="004E2EB0">
        <w:t>.</w:t>
      </w:r>
    </w:p>
    <w:p w:rsidR="00227829" w:rsidRDefault="00227829" w:rsidP="00E713B2">
      <w:pPr>
        <w:rPr>
          <w:lang w:eastAsia="en-CA"/>
        </w:rPr>
      </w:pPr>
      <w:r>
        <w:rPr>
          <w:lang w:eastAsia="en-CA"/>
        </w:rPr>
        <w:lastRenderedPageBreak/>
        <w:t>Despite being controlled by a few large players the Canadian wireless network needs to cover a large territory to service a relatively small market.  With 27 m</w:t>
      </w:r>
      <w:r w:rsidRPr="008375C6">
        <w:rPr>
          <w:lang w:eastAsia="en-CA"/>
        </w:rPr>
        <w:t>illion</w:t>
      </w:r>
      <w:r>
        <w:rPr>
          <w:lang w:eastAsia="en-CA"/>
        </w:rPr>
        <w:t xml:space="preserve"> </w:t>
      </w:r>
      <w:r w:rsidRPr="008375C6">
        <w:rPr>
          <w:lang w:eastAsia="en-CA"/>
        </w:rPr>
        <w:t>cell phone subscrib</w:t>
      </w:r>
      <w:r>
        <w:rPr>
          <w:lang w:eastAsia="en-CA"/>
        </w:rPr>
        <w:t xml:space="preserve">ers spread out over more than 1.3 million km, service providers face high upfront investment and operational costs to build and maintain the network infrastructure </w:t>
      </w:r>
      <w:r w:rsidRPr="004E2EB0">
        <w:rPr>
          <w:rStyle w:val="SubtleEmphasis"/>
        </w:rPr>
        <w:t xml:space="preserve">(CWTA, </w:t>
      </w:r>
      <w:hyperlink r:id="rId15" w:history="1">
        <w:r w:rsidRPr="004E2EB0">
          <w:rPr>
            <w:rStyle w:val="SubtleEmphasis"/>
          </w:rPr>
          <w:t>http://cwta.ca/facts-figures/</w:t>
        </w:r>
      </w:hyperlink>
      <w:r w:rsidRPr="004E2EB0">
        <w:rPr>
          <w:rStyle w:val="SubtleEmphasis"/>
        </w:rPr>
        <w:t>)</w:t>
      </w:r>
      <w:r>
        <w:rPr>
          <w:lang w:eastAsia="en-CA"/>
        </w:rPr>
        <w:t xml:space="preserve">. </w:t>
      </w:r>
    </w:p>
    <w:p w:rsidR="005F4AA5" w:rsidRDefault="00227829" w:rsidP="00E713B2">
      <w:pPr>
        <w:rPr>
          <w:lang w:eastAsia="en-CA"/>
        </w:rPr>
      </w:pPr>
      <w:r>
        <w:rPr>
          <w:lang w:eastAsia="en-CA"/>
        </w:rPr>
        <w:t xml:space="preserve">In addition, the government of Canada has </w:t>
      </w:r>
      <w:r w:rsidR="005F4AA5">
        <w:rPr>
          <w:lang w:eastAsia="en-CA"/>
        </w:rPr>
        <w:t xml:space="preserve">promoted </w:t>
      </w:r>
      <w:r w:rsidR="005F4AA5">
        <w:rPr>
          <w:shd w:val="clear" w:color="auto" w:fill="FFFFFF"/>
        </w:rPr>
        <w:t>a policy for greater competition through more choice, lower prices and better service, thereby stiffening competition and attracting foreign companies</w:t>
      </w:r>
      <w:r w:rsidR="004173A8">
        <w:rPr>
          <w:shd w:val="clear" w:color="auto" w:fill="FFFFFF"/>
        </w:rPr>
        <w:t xml:space="preserve"> </w:t>
      </w:r>
      <w:r w:rsidR="004173A8" w:rsidRPr="004173A8">
        <w:rPr>
          <w:rStyle w:val="SubtleEmphasis"/>
        </w:rPr>
        <w:t xml:space="preserve">(Industry Canada, </w:t>
      </w:r>
      <w:hyperlink r:id="rId16" w:history="1">
        <w:r w:rsidR="004173A8" w:rsidRPr="004173A8">
          <w:rPr>
            <w:rStyle w:val="SubtleEmphasis"/>
          </w:rPr>
          <w:t>http://www.ic.gc.ca/eic/site/icgc.nsf/eng/07389.html</w:t>
        </w:r>
      </w:hyperlink>
      <w:r w:rsidR="004173A8" w:rsidRPr="004173A8">
        <w:rPr>
          <w:rStyle w:val="SubtleEmphasis"/>
        </w:rPr>
        <w:t>)</w:t>
      </w:r>
      <w:r w:rsidR="005F4AA5" w:rsidRPr="004173A8">
        <w:rPr>
          <w:rStyle w:val="SubtleEmphasis"/>
        </w:rPr>
        <w:t>.</w:t>
      </w:r>
      <w:r w:rsidR="005F4AA5">
        <w:rPr>
          <w:shd w:val="clear" w:color="auto" w:fill="FFFFFF"/>
        </w:rPr>
        <w:t xml:space="preserve"> </w:t>
      </w:r>
    </w:p>
    <w:p w:rsidR="00841EA4" w:rsidRDefault="005F4AA5" w:rsidP="00E713B2">
      <w:pPr>
        <w:rPr>
          <w:lang w:eastAsia="en-CA"/>
        </w:rPr>
      </w:pPr>
      <w:r>
        <w:rPr>
          <w:lang w:eastAsia="en-CA"/>
        </w:rPr>
        <w:t>However, w</w:t>
      </w:r>
      <w:r w:rsidR="00227829">
        <w:rPr>
          <w:lang w:eastAsia="en-CA"/>
        </w:rPr>
        <w:t>ith wireless penetration in Canada below that of other developed countries</w:t>
      </w:r>
      <w:r w:rsidR="00596D1E">
        <w:rPr>
          <w:lang w:eastAsia="en-CA"/>
        </w:rPr>
        <w:t xml:space="preserve">, </w:t>
      </w:r>
      <w:r w:rsidR="00841EA4">
        <w:rPr>
          <w:lang w:eastAsia="en-CA"/>
        </w:rPr>
        <w:t>the Canadian wireless sector has the potential for meaningful organic growth</w:t>
      </w:r>
      <w:r w:rsidR="004173A8">
        <w:rPr>
          <w:lang w:eastAsia="en-CA"/>
        </w:rPr>
        <w:t xml:space="preserve"> </w:t>
      </w:r>
      <w:r w:rsidR="004173A8" w:rsidRPr="004E2EB0">
        <w:rPr>
          <w:rStyle w:val="SubtleEmphasis"/>
        </w:rPr>
        <w:t xml:space="preserve">(Rogers Wireless Q4 Report, </w:t>
      </w:r>
      <w:hyperlink r:id="rId17" w:history="1">
        <w:r w:rsidR="004173A8" w:rsidRPr="004E2EB0">
          <w:rPr>
            <w:rStyle w:val="SubtleEmphasis"/>
          </w:rPr>
          <w:t>http://www.rogers.com/cms/investor_relations/pdfs/At_A_Glance_Highlights-Rogers_Wireless.pdf</w:t>
        </w:r>
      </w:hyperlink>
      <w:r w:rsidR="004173A8" w:rsidRPr="004E2EB0">
        <w:rPr>
          <w:rStyle w:val="SubtleEmphasis"/>
        </w:rPr>
        <w:t>)</w:t>
      </w:r>
      <w:r w:rsidR="00841EA4">
        <w:rPr>
          <w:lang w:eastAsia="en-CA"/>
        </w:rPr>
        <w:t xml:space="preserve">. </w:t>
      </w:r>
    </w:p>
    <w:p w:rsidR="007C158F" w:rsidRPr="007C158F" w:rsidRDefault="007C158F" w:rsidP="007C158F">
      <w:pPr>
        <w:pStyle w:val="Heading1"/>
        <w:rPr>
          <w:lang w:eastAsia="en-CA"/>
        </w:rPr>
      </w:pPr>
      <w:bookmarkStart w:id="10" w:name="_Toc374518256"/>
      <w:r>
        <w:rPr>
          <w:lang w:eastAsia="en-CA"/>
        </w:rPr>
        <w:lastRenderedPageBreak/>
        <w:t>Company Overview</w:t>
      </w:r>
      <w:bookmarkEnd w:id="10"/>
    </w:p>
    <w:p w:rsidR="00596D1E" w:rsidRPr="000053AE" w:rsidRDefault="00596D1E" w:rsidP="007C158F">
      <w:pPr>
        <w:pStyle w:val="Heading2"/>
        <w:rPr>
          <w:lang w:eastAsia="en-CA"/>
        </w:rPr>
      </w:pPr>
      <w:bookmarkStart w:id="11" w:name="_Toc374518257"/>
      <w:r w:rsidRPr="000053AE">
        <w:rPr>
          <w:lang w:eastAsia="en-CA"/>
        </w:rPr>
        <w:t>Rogers Communications Inc.</w:t>
      </w:r>
      <w:bookmarkEnd w:id="11"/>
      <w:r w:rsidRPr="000053AE">
        <w:rPr>
          <w:lang w:eastAsia="en-CA"/>
        </w:rPr>
        <w:t xml:space="preserve"> </w:t>
      </w:r>
    </w:p>
    <w:p w:rsidR="007C158F" w:rsidRPr="007C158F" w:rsidRDefault="006E2ADE" w:rsidP="007C158F">
      <w:pPr>
        <w:rPr>
          <w:shd w:val="clear" w:color="auto" w:fill="FFFFFF"/>
        </w:rPr>
      </w:pPr>
      <w:r w:rsidRPr="006E2ADE">
        <w:rPr>
          <w:shd w:val="clear" w:color="auto" w:fill="FFFFFF"/>
        </w:rPr>
        <w:t xml:space="preserve">Rogers Communications Inc. is a diversified communications and media company. </w:t>
      </w:r>
      <w:r w:rsidRPr="006E2ADE">
        <w:t xml:space="preserve">In </w:t>
      </w:r>
      <w:r w:rsidRPr="007C158F">
        <w:t xml:space="preserve">addition to being Canada’s largest wireless carrier with 9.5M subscribers, </w:t>
      </w:r>
      <w:r w:rsidR="00596D1E" w:rsidRPr="007C158F">
        <w:t>Rogers Communications</w:t>
      </w:r>
      <w:r w:rsidRPr="007C158F">
        <w:t xml:space="preserve"> Inc.</w:t>
      </w:r>
      <w:r w:rsidR="00596D1E" w:rsidRPr="007C158F">
        <w:t xml:space="preserve"> is </w:t>
      </w:r>
      <w:r w:rsidRPr="007C158F">
        <w:t xml:space="preserve">the nation’s leading Canadian cable provider. Other services offered by Rogers include high-speed internet access, </w:t>
      </w:r>
      <w:r w:rsidRPr="007C158F">
        <w:rPr>
          <w:shd w:val="clear" w:color="auto" w:fill="FFFFFF"/>
        </w:rPr>
        <w:t>specialty, print and online media assets, data networking and IP solutions for small, medium and large enterprise, government and carrier customers.</w:t>
      </w:r>
    </w:p>
    <w:p w:rsidR="007C158F" w:rsidRPr="007C158F" w:rsidRDefault="007C158F" w:rsidP="007C158F">
      <w:pPr>
        <w:rPr>
          <w:shd w:val="clear" w:color="auto" w:fill="F3F3F3"/>
        </w:rPr>
      </w:pPr>
      <w:r w:rsidRPr="000561FD">
        <w:t>Rogers’ strengths include strong brand recognition, a diversified mix of assets, conservative debt leverage, significant available liquidity and no mate</w:t>
      </w:r>
      <w:r w:rsidR="00BF588E">
        <w:t xml:space="preserve">rial near-term debt maturities. </w:t>
      </w:r>
      <w:r w:rsidRPr="000561FD">
        <w:t>In 2013, there will be an annualized dividend of $1.74 per share for investors</w:t>
      </w:r>
      <w:r>
        <w:rPr>
          <w:shd w:val="clear" w:color="auto" w:fill="E5E5E5"/>
        </w:rPr>
        <w:t xml:space="preserve"> </w:t>
      </w:r>
      <w:r w:rsidRPr="007C158F">
        <w:rPr>
          <w:rStyle w:val="SubtleEmphasis"/>
        </w:rPr>
        <w:t xml:space="preserve">(Rogers, </w:t>
      </w:r>
      <w:hyperlink r:id="rId18" w:history="1">
        <w:r w:rsidRPr="007C158F">
          <w:rPr>
            <w:rStyle w:val="SubtleEmphasis"/>
          </w:rPr>
          <w:t>https://www.rogers.com/web/Rogers.portal?_nfpb=true&amp;_windowLabel=investor_1_1&amp;investor_1_1_actionOverride=%2Fportlets%2Fconsumer%2Finvestor%2FshowLandingPageAction&amp;_pageLabel=IR_LANDING</w:t>
        </w:r>
      </w:hyperlink>
      <w:r w:rsidRPr="007C158F">
        <w:rPr>
          <w:rStyle w:val="SubtleEmphasis"/>
        </w:rPr>
        <w:t>)</w:t>
      </w:r>
      <w:r w:rsidRPr="000561FD">
        <w:t>.</w:t>
      </w:r>
    </w:p>
    <w:p w:rsidR="00596D1E" w:rsidRDefault="007C158F" w:rsidP="007C158F">
      <w:pPr>
        <w:pStyle w:val="Heading2"/>
        <w:rPr>
          <w:lang w:eastAsia="en-CA"/>
        </w:rPr>
      </w:pPr>
      <w:bookmarkStart w:id="12" w:name="_Toc374518258"/>
      <w:r>
        <w:rPr>
          <w:shd w:val="clear" w:color="auto" w:fill="FFFFFF"/>
        </w:rPr>
        <w:t>Telus C</w:t>
      </w:r>
      <w:r w:rsidR="00596D1E">
        <w:rPr>
          <w:lang w:eastAsia="en-CA"/>
        </w:rPr>
        <w:t>orporation</w:t>
      </w:r>
      <w:bookmarkEnd w:id="12"/>
    </w:p>
    <w:p w:rsidR="000561FD" w:rsidRPr="000561FD" w:rsidRDefault="00596D1E" w:rsidP="000561FD">
      <w:pPr>
        <w:rPr>
          <w:szCs w:val="22"/>
        </w:rPr>
      </w:pPr>
      <w:r w:rsidRPr="000561FD">
        <w:rPr>
          <w:szCs w:val="22"/>
        </w:rPr>
        <w:t>Telus Corporation</w:t>
      </w:r>
      <w:r w:rsidR="000561FD" w:rsidRPr="000561FD">
        <w:rPr>
          <w:szCs w:val="22"/>
        </w:rPr>
        <w:t xml:space="preserve"> offers a variety of products and services, including wireless, data, Internet protocol (IP), voice, television, entertainment and video.</w:t>
      </w:r>
    </w:p>
    <w:p w:rsidR="000561FD" w:rsidRDefault="000561FD" w:rsidP="000561FD">
      <w:r w:rsidRPr="000561FD">
        <w:rPr>
          <w:szCs w:val="22"/>
        </w:rPr>
        <w:t>Telus Corporation’s strengths include a strong commitment to corporate and social responsibility, recent capital investments to expand the capacity, speeds and coverage of TELUS’ advanced broadband networks, and sustained growth in market share driven by a customer-first mentality. TELUS declared a quarterly dividend of 36 cents per share on</w:t>
      </w:r>
      <w:r w:rsidR="008C6310">
        <w:rPr>
          <w:szCs w:val="22"/>
        </w:rPr>
        <w:t xml:space="preserve"> outstanding </w:t>
      </w:r>
      <w:r w:rsidR="00A134E5">
        <w:rPr>
          <w:szCs w:val="22"/>
        </w:rPr>
        <w:t>c</w:t>
      </w:r>
      <w:r w:rsidR="008C6310">
        <w:rPr>
          <w:szCs w:val="22"/>
        </w:rPr>
        <w:t xml:space="preserve">ommon </w:t>
      </w:r>
      <w:r w:rsidR="00A134E5">
        <w:rPr>
          <w:szCs w:val="22"/>
        </w:rPr>
        <w:t>s</w:t>
      </w:r>
      <w:r w:rsidRPr="000561FD">
        <w:rPr>
          <w:szCs w:val="22"/>
        </w:rPr>
        <w:t xml:space="preserve">hares payable January 2nd, 2014. This level is 12.5% higher than a year ago </w:t>
      </w:r>
      <w:r w:rsidRPr="000561FD">
        <w:rPr>
          <w:rStyle w:val="SubtleEmphasis"/>
          <w:szCs w:val="22"/>
        </w:rPr>
        <w:t xml:space="preserve">(Telus, </w:t>
      </w:r>
      <w:hyperlink r:id="rId19" w:history="1">
        <w:r w:rsidRPr="000561FD">
          <w:rPr>
            <w:rStyle w:val="SubtleEmphasis"/>
          </w:rPr>
          <w:t>http://about.telus.com/community/english/investor_relations</w:t>
        </w:r>
      </w:hyperlink>
      <w:r w:rsidRPr="000561FD">
        <w:rPr>
          <w:rStyle w:val="SubtleEmphasis"/>
        </w:rPr>
        <w:t>)</w:t>
      </w:r>
      <w:r w:rsidRPr="000561FD">
        <w:t>.</w:t>
      </w:r>
    </w:p>
    <w:p w:rsidR="000561FD" w:rsidRDefault="000561FD" w:rsidP="000561FD">
      <w:pPr>
        <w:rPr>
          <w:rFonts w:ascii="Times New Roman" w:hAnsi="Times New Roman"/>
          <w:color w:val="000000"/>
          <w:sz w:val="24"/>
          <w:lang w:eastAsia="en-CA"/>
        </w:rPr>
      </w:pPr>
      <w:r>
        <w:lastRenderedPageBreak/>
        <w:t>Given the strengths of both Rogers Communication Inc</w:t>
      </w:r>
      <w:r w:rsidR="00EF5729">
        <w:t>.</w:t>
      </w:r>
      <w:r>
        <w:t xml:space="preserve"> and Telus Corporation, a comparative analysis of the two companies will be presented herein, followed by an investment recommendation.</w:t>
      </w:r>
    </w:p>
    <w:p w:rsidR="00596D1E" w:rsidRPr="000561FD" w:rsidRDefault="00596D1E" w:rsidP="000561FD">
      <w:pPr>
        <w:pStyle w:val="Heading1"/>
        <w:rPr>
          <w:lang w:eastAsia="en-CA"/>
        </w:rPr>
      </w:pPr>
      <w:bookmarkStart w:id="13" w:name="_Toc374518259"/>
      <w:r w:rsidRPr="008375C6">
        <w:rPr>
          <w:lang w:eastAsia="en-CA"/>
        </w:rPr>
        <w:lastRenderedPageBreak/>
        <w:t>Comparative Analysis</w:t>
      </w:r>
      <w:bookmarkEnd w:id="13"/>
    </w:p>
    <w:p w:rsidR="00596D1E" w:rsidRDefault="00596D1E" w:rsidP="00596D1E">
      <w:pPr>
        <w:pStyle w:val="Heading2"/>
        <w:rPr>
          <w:szCs w:val="24"/>
        </w:rPr>
      </w:pPr>
      <w:bookmarkStart w:id="14" w:name="_Toc374518260"/>
      <w:r w:rsidRPr="00596D1E">
        <w:rPr>
          <w:szCs w:val="24"/>
        </w:rPr>
        <w:t>Overall Performance</w:t>
      </w:r>
      <w:bookmarkEnd w:id="14"/>
    </w:p>
    <w:p w:rsidR="00D7466A" w:rsidRDefault="00D7466A" w:rsidP="00D7466A">
      <w:pPr>
        <w:rPr>
          <w:lang w:eastAsia="en-CA"/>
        </w:rPr>
      </w:pPr>
      <w:r>
        <w:rPr>
          <w:lang w:eastAsia="en-CA"/>
        </w:rPr>
        <w:t xml:space="preserve">As shown in </w:t>
      </w:r>
      <w:r w:rsidRPr="00EF5729">
        <w:t xml:space="preserve">Table </w:t>
      </w:r>
      <w:fldSimple w:instr=" SEQ Figure \* ARABIC ">
        <w:r w:rsidRPr="00EF5729">
          <w:t>1</w:t>
        </w:r>
      </w:fldSimple>
      <w:r w:rsidRPr="00EF5729">
        <w:t>,</w:t>
      </w:r>
      <w:r>
        <w:rPr>
          <w:color w:val="1F497D" w:themeColor="text2"/>
        </w:rPr>
        <w:t xml:space="preserve"> </w:t>
      </w:r>
      <w:r>
        <w:rPr>
          <w:lang w:eastAsia="en-CA"/>
        </w:rPr>
        <w:t>while both Telus and Rogers have approximately the same market cap and revenue, they are significantly different. Based upon the data presented here, Rogers has a more efficient operation as it has 40% fewer employees than Telus and thus a better revenue/employee ratio. However, an important caveat</w:t>
      </w:r>
      <w:r w:rsidR="00300328">
        <w:rPr>
          <w:lang w:eastAsia="en-CA"/>
        </w:rPr>
        <w:t xml:space="preserve"> to this observation</w:t>
      </w:r>
      <w:r>
        <w:rPr>
          <w:lang w:eastAsia="en-CA"/>
        </w:rPr>
        <w:t xml:space="preserve"> is that the numbers </w:t>
      </w:r>
      <w:r w:rsidR="00206B65">
        <w:rPr>
          <w:lang w:eastAsia="en-CA"/>
        </w:rPr>
        <w:t>d</w:t>
      </w:r>
      <w:r>
        <w:rPr>
          <w:lang w:eastAsia="en-CA"/>
        </w:rPr>
        <w:t>o not include contractors and third-party partners (and Rogers could indeed have a big “external” workforce).</w:t>
      </w:r>
    </w:p>
    <w:p w:rsidR="00D7466A" w:rsidRDefault="00D7466A" w:rsidP="00D7466A">
      <w:pPr>
        <w:rPr>
          <w:lang w:eastAsia="en-CA"/>
        </w:rPr>
      </w:pPr>
      <w:r>
        <w:rPr>
          <w:lang w:eastAsia="en-CA"/>
        </w:rPr>
        <w:t xml:space="preserve">From an investor perspective, Rogers appears to offer superior annual earnings and dividends per share. Rogers also shows better dividend yield, earnings and dividends payoff. Dividend yield, earnings and payoffs are important figures to investors as they show performance and profitability. Moreover, with a lower P/E ratio, Rogers would appear to be a better buy than Telus (note though that both companies </w:t>
      </w:r>
      <w:r>
        <w:rPr>
          <w:color w:val="000000"/>
          <w:lang w:eastAsia="en-CA"/>
        </w:rPr>
        <w:t>have below-industry average P/E ratios; telecommunications industry has a 20.60 P/E ratio)</w:t>
      </w:r>
      <w:r>
        <w:rPr>
          <w:lang w:eastAsia="en-CA"/>
        </w:rPr>
        <w:t>.</w:t>
      </w:r>
    </w:p>
    <w:p w:rsidR="0091204A" w:rsidRDefault="0091204A">
      <w:pPr>
        <w:spacing w:before="0" w:after="0"/>
        <w:rPr>
          <w:lang w:eastAsia="en-CA"/>
        </w:rPr>
      </w:pPr>
      <w:r>
        <w:rPr>
          <w:lang w:eastAsia="en-CA"/>
        </w:rPr>
        <w:br w:type="page"/>
      </w:r>
    </w:p>
    <w:tbl>
      <w:tblPr>
        <w:tblStyle w:val="LightList-Accent11"/>
        <w:tblW w:w="8887" w:type="dxa"/>
        <w:jc w:val="center"/>
        <w:tblLook w:val="04A0" w:firstRow="1" w:lastRow="0" w:firstColumn="1" w:lastColumn="0" w:noHBand="0" w:noVBand="1"/>
      </w:tblPr>
      <w:tblGrid>
        <w:gridCol w:w="2943"/>
        <w:gridCol w:w="2173"/>
        <w:gridCol w:w="3771"/>
      </w:tblGrid>
      <w:tr w:rsidR="00596D1E" w:rsidRPr="001D30B1" w:rsidTr="00C12A5D">
        <w:trPr>
          <w:cnfStyle w:val="100000000000" w:firstRow="1" w:lastRow="0" w:firstColumn="0" w:lastColumn="0" w:oddVBand="0" w:evenVBand="0" w:oddHBand="0"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2943" w:type="dxa"/>
            <w:noWrap/>
            <w:hideMark/>
          </w:tcPr>
          <w:p w:rsidR="00596D1E" w:rsidRPr="00E25BAA" w:rsidRDefault="00596D1E" w:rsidP="00EF5729">
            <w:pPr>
              <w:rPr>
                <w:rFonts w:eastAsia="Arial Unicode MS"/>
              </w:rPr>
            </w:pPr>
          </w:p>
        </w:tc>
        <w:tc>
          <w:tcPr>
            <w:tcW w:w="2173" w:type="dxa"/>
            <w:noWrap/>
            <w:hideMark/>
          </w:tcPr>
          <w:p w:rsidR="00596D1E" w:rsidRPr="00E25BAA" w:rsidRDefault="00EF5729" w:rsidP="00EF5729">
            <w:pPr>
              <w:cnfStyle w:val="100000000000" w:firstRow="1" w:lastRow="0" w:firstColumn="0" w:lastColumn="0" w:oddVBand="0" w:evenVBand="0" w:oddHBand="0" w:evenHBand="0" w:firstRowFirstColumn="0" w:firstRowLastColumn="0" w:lastRowFirstColumn="0" w:lastRowLastColumn="0"/>
            </w:pPr>
            <w:r>
              <w:t>Telus</w:t>
            </w:r>
            <w:r w:rsidR="00596D1E" w:rsidRPr="00E25BAA">
              <w:t xml:space="preserve"> Corp</w:t>
            </w:r>
            <w:r>
              <w:t>oration</w:t>
            </w:r>
          </w:p>
        </w:tc>
        <w:tc>
          <w:tcPr>
            <w:tcW w:w="3771" w:type="dxa"/>
            <w:noWrap/>
            <w:hideMark/>
          </w:tcPr>
          <w:p w:rsidR="00596D1E" w:rsidRPr="00E25BAA" w:rsidRDefault="00596D1E" w:rsidP="00EF5729">
            <w:pPr>
              <w:cnfStyle w:val="100000000000" w:firstRow="1" w:lastRow="0" w:firstColumn="0" w:lastColumn="0" w:oddVBand="0" w:evenVBand="0" w:oddHBand="0" w:evenHBand="0" w:firstRowFirstColumn="0" w:firstRowLastColumn="0" w:lastRowFirstColumn="0" w:lastRowLastColumn="0"/>
            </w:pPr>
            <w:r w:rsidRPr="00E25BAA">
              <w:t>Rogers Communications Inc.</w:t>
            </w:r>
          </w:p>
        </w:tc>
      </w:tr>
      <w:tr w:rsidR="00596D1E" w:rsidRPr="001D30B1" w:rsidTr="00C12A5D">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2943" w:type="dxa"/>
            <w:noWrap/>
            <w:hideMark/>
          </w:tcPr>
          <w:p w:rsidR="00596D1E" w:rsidRPr="00E25BAA" w:rsidRDefault="00596D1E" w:rsidP="00EF5729">
            <w:pPr>
              <w:rPr>
                <w:rFonts w:eastAsia="Arial Unicode MS"/>
              </w:rPr>
            </w:pPr>
            <w:r w:rsidRPr="00E25BAA">
              <w:rPr>
                <w:rFonts w:eastAsia="Arial Unicode MS"/>
              </w:rPr>
              <w:t xml:space="preserve">Market Cap </w:t>
            </w:r>
          </w:p>
        </w:tc>
        <w:tc>
          <w:tcPr>
            <w:tcW w:w="2173" w:type="dxa"/>
            <w:noWrap/>
            <w:hideMark/>
          </w:tcPr>
          <w:p w:rsidR="00596D1E" w:rsidRPr="00E25BAA" w:rsidRDefault="00596D1E" w:rsidP="00EF5729">
            <w:pPr>
              <w:jc w:val="center"/>
              <w:cnfStyle w:val="000000100000" w:firstRow="0" w:lastRow="0" w:firstColumn="0" w:lastColumn="0" w:oddVBand="0" w:evenVBand="0" w:oddHBand="1" w:evenHBand="0" w:firstRowFirstColumn="0" w:firstRowLastColumn="0" w:lastRowFirstColumn="0" w:lastRowLastColumn="0"/>
            </w:pPr>
            <w:r w:rsidRPr="00E25BAA">
              <w:t>$23.06 billion</w:t>
            </w:r>
          </w:p>
        </w:tc>
        <w:tc>
          <w:tcPr>
            <w:tcW w:w="3771" w:type="dxa"/>
            <w:noWrap/>
            <w:hideMark/>
          </w:tcPr>
          <w:p w:rsidR="00596D1E" w:rsidRPr="00E25BAA" w:rsidRDefault="00596D1E" w:rsidP="00EF5729">
            <w:pPr>
              <w:jc w:val="center"/>
              <w:cnfStyle w:val="000000100000" w:firstRow="0" w:lastRow="0" w:firstColumn="0" w:lastColumn="0" w:oddVBand="0" w:evenVBand="0" w:oddHBand="1" w:evenHBand="0" w:firstRowFirstColumn="0" w:firstRowLastColumn="0" w:lastRowFirstColumn="0" w:lastRowLastColumn="0"/>
            </w:pPr>
            <w:r w:rsidRPr="00E25BAA">
              <w:t>$24.11 billion</w:t>
            </w:r>
          </w:p>
        </w:tc>
      </w:tr>
      <w:tr w:rsidR="00596D1E" w:rsidRPr="001D30B1" w:rsidTr="00C12A5D">
        <w:trPr>
          <w:trHeight w:val="395"/>
          <w:jc w:val="center"/>
        </w:trPr>
        <w:tc>
          <w:tcPr>
            <w:cnfStyle w:val="001000000000" w:firstRow="0" w:lastRow="0" w:firstColumn="1" w:lastColumn="0" w:oddVBand="0" w:evenVBand="0" w:oddHBand="0" w:evenHBand="0" w:firstRowFirstColumn="0" w:firstRowLastColumn="0" w:lastRowFirstColumn="0" w:lastRowLastColumn="0"/>
            <w:tcW w:w="2943" w:type="dxa"/>
            <w:noWrap/>
            <w:hideMark/>
          </w:tcPr>
          <w:p w:rsidR="00596D1E" w:rsidRPr="00E25BAA" w:rsidRDefault="00596D1E" w:rsidP="00EF5729">
            <w:pPr>
              <w:rPr>
                <w:rFonts w:eastAsia="Arial Unicode MS"/>
              </w:rPr>
            </w:pPr>
            <w:r w:rsidRPr="00E25BAA">
              <w:rPr>
                <w:rFonts w:eastAsia="Arial Unicode MS"/>
              </w:rPr>
              <w:t xml:space="preserve">Revenue </w:t>
            </w:r>
          </w:p>
        </w:tc>
        <w:tc>
          <w:tcPr>
            <w:tcW w:w="2173" w:type="dxa"/>
            <w:noWrap/>
            <w:hideMark/>
          </w:tcPr>
          <w:p w:rsidR="00596D1E" w:rsidRPr="00E25BAA" w:rsidRDefault="00596D1E" w:rsidP="00EF5729">
            <w:pPr>
              <w:jc w:val="center"/>
              <w:cnfStyle w:val="000000000000" w:firstRow="0" w:lastRow="0" w:firstColumn="0" w:lastColumn="0" w:oddVBand="0" w:evenVBand="0" w:oddHBand="0" w:evenHBand="0" w:firstRowFirstColumn="0" w:firstRowLastColumn="0" w:lastRowFirstColumn="0" w:lastRowLastColumn="0"/>
            </w:pPr>
            <w:r w:rsidRPr="00E25BAA">
              <w:t>$11.32 billion</w:t>
            </w:r>
          </w:p>
        </w:tc>
        <w:tc>
          <w:tcPr>
            <w:tcW w:w="3771" w:type="dxa"/>
            <w:noWrap/>
            <w:hideMark/>
          </w:tcPr>
          <w:p w:rsidR="00596D1E" w:rsidRPr="00E25BAA" w:rsidRDefault="00596D1E" w:rsidP="00EF5729">
            <w:pPr>
              <w:jc w:val="center"/>
              <w:cnfStyle w:val="000000000000" w:firstRow="0" w:lastRow="0" w:firstColumn="0" w:lastColumn="0" w:oddVBand="0" w:evenVBand="0" w:oddHBand="0" w:evenHBand="0" w:firstRowFirstColumn="0" w:firstRowLastColumn="0" w:lastRowFirstColumn="0" w:lastRowLastColumn="0"/>
            </w:pPr>
            <w:r w:rsidRPr="00E25BAA">
              <w:t>$12.72 billion</w:t>
            </w:r>
          </w:p>
        </w:tc>
      </w:tr>
      <w:tr w:rsidR="00596D1E" w:rsidRPr="001D30B1" w:rsidTr="00C12A5D">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2943" w:type="dxa"/>
            <w:noWrap/>
            <w:hideMark/>
          </w:tcPr>
          <w:p w:rsidR="00596D1E" w:rsidRPr="00E25BAA" w:rsidRDefault="00596D1E" w:rsidP="00EF5729">
            <w:pPr>
              <w:rPr>
                <w:rFonts w:eastAsia="Arial Unicode MS"/>
              </w:rPr>
            </w:pPr>
            <w:r w:rsidRPr="00E25BAA">
              <w:rPr>
                <w:rFonts w:eastAsia="Arial Unicode MS"/>
              </w:rPr>
              <w:t xml:space="preserve">Employees </w:t>
            </w:r>
          </w:p>
        </w:tc>
        <w:tc>
          <w:tcPr>
            <w:tcW w:w="2173" w:type="dxa"/>
            <w:noWrap/>
            <w:hideMark/>
          </w:tcPr>
          <w:p w:rsidR="00596D1E" w:rsidRPr="00E25BAA" w:rsidRDefault="00596D1E" w:rsidP="00EF5729">
            <w:pPr>
              <w:jc w:val="center"/>
              <w:cnfStyle w:val="000000100000" w:firstRow="0" w:lastRow="0" w:firstColumn="0" w:lastColumn="0" w:oddVBand="0" w:evenVBand="0" w:oddHBand="1" w:evenHBand="0" w:firstRowFirstColumn="0" w:firstRowLastColumn="0" w:lastRowFirstColumn="0" w:lastRowLastColumn="0"/>
            </w:pPr>
            <w:r w:rsidRPr="00E25BAA">
              <w:t>42,400</w:t>
            </w:r>
          </w:p>
        </w:tc>
        <w:tc>
          <w:tcPr>
            <w:tcW w:w="3771" w:type="dxa"/>
            <w:noWrap/>
            <w:hideMark/>
          </w:tcPr>
          <w:p w:rsidR="00596D1E" w:rsidRPr="00E25BAA" w:rsidRDefault="00596D1E" w:rsidP="00EF5729">
            <w:pPr>
              <w:jc w:val="center"/>
              <w:cnfStyle w:val="000000100000" w:firstRow="0" w:lastRow="0" w:firstColumn="0" w:lastColumn="0" w:oddVBand="0" w:evenVBand="0" w:oddHBand="1" w:evenHBand="0" w:firstRowFirstColumn="0" w:firstRowLastColumn="0" w:lastRowFirstColumn="0" w:lastRowLastColumn="0"/>
            </w:pPr>
            <w:r w:rsidRPr="00E25BAA">
              <w:t>26,801</w:t>
            </w:r>
          </w:p>
        </w:tc>
      </w:tr>
      <w:tr w:rsidR="00596D1E" w:rsidRPr="001D30B1" w:rsidTr="00C12A5D">
        <w:trPr>
          <w:trHeight w:val="395"/>
          <w:jc w:val="center"/>
        </w:trPr>
        <w:tc>
          <w:tcPr>
            <w:cnfStyle w:val="001000000000" w:firstRow="0" w:lastRow="0" w:firstColumn="1" w:lastColumn="0" w:oddVBand="0" w:evenVBand="0" w:oddHBand="0" w:evenHBand="0" w:firstRowFirstColumn="0" w:firstRowLastColumn="0" w:lastRowFirstColumn="0" w:lastRowLastColumn="0"/>
            <w:tcW w:w="2943" w:type="dxa"/>
            <w:noWrap/>
            <w:hideMark/>
          </w:tcPr>
          <w:p w:rsidR="00596D1E" w:rsidRPr="00E25BAA" w:rsidRDefault="00596D1E" w:rsidP="00EF5729">
            <w:pPr>
              <w:rPr>
                <w:rFonts w:eastAsia="Arial Unicode MS"/>
              </w:rPr>
            </w:pPr>
            <w:r w:rsidRPr="00E25BAA">
              <w:rPr>
                <w:rFonts w:eastAsia="Arial Unicode MS"/>
              </w:rPr>
              <w:t xml:space="preserve">Revenue / Employee </w:t>
            </w:r>
          </w:p>
        </w:tc>
        <w:tc>
          <w:tcPr>
            <w:tcW w:w="2173" w:type="dxa"/>
            <w:noWrap/>
            <w:hideMark/>
          </w:tcPr>
          <w:p w:rsidR="00596D1E" w:rsidRPr="00E25BAA" w:rsidRDefault="00596D1E" w:rsidP="00EF5729">
            <w:pPr>
              <w:jc w:val="center"/>
              <w:cnfStyle w:val="000000000000" w:firstRow="0" w:lastRow="0" w:firstColumn="0" w:lastColumn="0" w:oddVBand="0" w:evenVBand="0" w:oddHBand="0" w:evenHBand="0" w:firstRowFirstColumn="0" w:firstRowLastColumn="0" w:lastRowFirstColumn="0" w:lastRowLastColumn="0"/>
            </w:pPr>
            <w:r w:rsidRPr="00E25BAA">
              <w:t>$267,100</w:t>
            </w:r>
          </w:p>
        </w:tc>
        <w:tc>
          <w:tcPr>
            <w:tcW w:w="3771" w:type="dxa"/>
            <w:noWrap/>
            <w:hideMark/>
          </w:tcPr>
          <w:p w:rsidR="00596D1E" w:rsidRPr="00E25BAA" w:rsidRDefault="00596D1E" w:rsidP="00EF5729">
            <w:pPr>
              <w:jc w:val="center"/>
              <w:cnfStyle w:val="000000000000" w:firstRow="0" w:lastRow="0" w:firstColumn="0" w:lastColumn="0" w:oddVBand="0" w:evenVBand="0" w:oddHBand="0" w:evenHBand="0" w:firstRowFirstColumn="0" w:firstRowLastColumn="0" w:lastRowFirstColumn="0" w:lastRowLastColumn="0"/>
            </w:pPr>
            <w:r w:rsidRPr="00E25BAA">
              <w:t>$474,800</w:t>
            </w:r>
          </w:p>
        </w:tc>
      </w:tr>
      <w:tr w:rsidR="00596D1E" w:rsidRPr="001D30B1" w:rsidTr="00C12A5D">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2943" w:type="dxa"/>
            <w:noWrap/>
            <w:hideMark/>
          </w:tcPr>
          <w:p w:rsidR="00596D1E" w:rsidRPr="00E25BAA" w:rsidRDefault="00596D1E" w:rsidP="00EF5729">
            <w:pPr>
              <w:rPr>
                <w:rFonts w:eastAsia="Arial Unicode MS"/>
              </w:rPr>
            </w:pPr>
            <w:r w:rsidRPr="00E25BAA">
              <w:rPr>
                <w:rFonts w:eastAsia="Arial Unicode MS"/>
              </w:rPr>
              <w:t xml:space="preserve">Net Income </w:t>
            </w:r>
          </w:p>
        </w:tc>
        <w:tc>
          <w:tcPr>
            <w:tcW w:w="2173" w:type="dxa"/>
            <w:noWrap/>
            <w:hideMark/>
          </w:tcPr>
          <w:p w:rsidR="00596D1E" w:rsidRPr="00E25BAA" w:rsidRDefault="00596D1E" w:rsidP="00EF5729">
            <w:pPr>
              <w:jc w:val="center"/>
              <w:cnfStyle w:val="000000100000" w:firstRow="0" w:lastRow="0" w:firstColumn="0" w:lastColumn="0" w:oddVBand="0" w:evenVBand="0" w:oddHBand="1" w:evenHBand="0" w:firstRowFirstColumn="0" w:firstRowLastColumn="0" w:lastRowFirstColumn="0" w:lastRowLastColumn="0"/>
            </w:pPr>
            <w:r w:rsidRPr="00E25BAA">
              <w:t>$1,381 billion</w:t>
            </w:r>
          </w:p>
        </w:tc>
        <w:tc>
          <w:tcPr>
            <w:tcW w:w="3771" w:type="dxa"/>
            <w:noWrap/>
            <w:hideMark/>
          </w:tcPr>
          <w:p w:rsidR="00596D1E" w:rsidRPr="00E25BAA" w:rsidRDefault="00596D1E" w:rsidP="00EF5729">
            <w:pPr>
              <w:jc w:val="center"/>
              <w:cnfStyle w:val="000000100000" w:firstRow="0" w:lastRow="0" w:firstColumn="0" w:lastColumn="0" w:oddVBand="0" w:evenVBand="0" w:oddHBand="1" w:evenHBand="0" w:firstRowFirstColumn="0" w:firstRowLastColumn="0" w:lastRowFirstColumn="0" w:lastRowLastColumn="0"/>
            </w:pPr>
            <w:r w:rsidRPr="00E25BAA">
              <w:t>$1,878 billion</w:t>
            </w:r>
          </w:p>
        </w:tc>
      </w:tr>
      <w:tr w:rsidR="00596D1E" w:rsidRPr="001D30B1" w:rsidTr="00C12A5D">
        <w:trPr>
          <w:trHeight w:val="395"/>
          <w:jc w:val="center"/>
        </w:trPr>
        <w:tc>
          <w:tcPr>
            <w:cnfStyle w:val="001000000000" w:firstRow="0" w:lastRow="0" w:firstColumn="1" w:lastColumn="0" w:oddVBand="0" w:evenVBand="0" w:oddHBand="0" w:evenHBand="0" w:firstRowFirstColumn="0" w:firstRowLastColumn="0" w:lastRowFirstColumn="0" w:lastRowLastColumn="0"/>
            <w:tcW w:w="2943" w:type="dxa"/>
            <w:noWrap/>
            <w:hideMark/>
          </w:tcPr>
          <w:p w:rsidR="00596D1E" w:rsidRPr="00E25BAA" w:rsidRDefault="00596D1E" w:rsidP="00EF5729">
            <w:pPr>
              <w:rPr>
                <w:rFonts w:eastAsia="Arial Unicode MS"/>
              </w:rPr>
            </w:pPr>
            <w:r w:rsidRPr="00E25BAA">
              <w:rPr>
                <w:rFonts w:eastAsia="Arial Unicode MS"/>
              </w:rPr>
              <w:t xml:space="preserve">Outstanding Shares </w:t>
            </w:r>
          </w:p>
        </w:tc>
        <w:tc>
          <w:tcPr>
            <w:tcW w:w="2173" w:type="dxa"/>
            <w:noWrap/>
            <w:hideMark/>
          </w:tcPr>
          <w:p w:rsidR="00596D1E" w:rsidRPr="00E25BAA" w:rsidRDefault="00596D1E" w:rsidP="00EF5729">
            <w:pPr>
              <w:jc w:val="center"/>
              <w:cnfStyle w:val="000000000000" w:firstRow="0" w:lastRow="0" w:firstColumn="0" w:lastColumn="0" w:oddVBand="0" w:evenVBand="0" w:oddHBand="0" w:evenHBand="0" w:firstRowFirstColumn="0" w:firstRowLastColumn="0" w:lastRowFirstColumn="0" w:lastRowLastColumn="0"/>
            </w:pPr>
            <w:r w:rsidRPr="00E25BAA">
              <w:t>623.3 million</w:t>
            </w:r>
          </w:p>
        </w:tc>
        <w:tc>
          <w:tcPr>
            <w:tcW w:w="3771" w:type="dxa"/>
            <w:noWrap/>
            <w:hideMark/>
          </w:tcPr>
          <w:p w:rsidR="00596D1E" w:rsidRPr="00E25BAA" w:rsidRDefault="00596D1E" w:rsidP="00EF5729">
            <w:pPr>
              <w:jc w:val="center"/>
              <w:cnfStyle w:val="000000000000" w:firstRow="0" w:lastRow="0" w:firstColumn="0" w:lastColumn="0" w:oddVBand="0" w:evenVBand="0" w:oddHBand="0" w:evenHBand="0" w:firstRowFirstColumn="0" w:firstRowLastColumn="0" w:lastRowFirstColumn="0" w:lastRowLastColumn="0"/>
            </w:pPr>
            <w:r w:rsidRPr="00E25BAA">
              <w:t>514.8 million</w:t>
            </w:r>
          </w:p>
        </w:tc>
      </w:tr>
      <w:tr w:rsidR="00596D1E" w:rsidRPr="001D30B1" w:rsidTr="00C12A5D">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2943" w:type="dxa"/>
            <w:noWrap/>
            <w:hideMark/>
          </w:tcPr>
          <w:p w:rsidR="00596D1E" w:rsidRPr="00E25BAA" w:rsidRDefault="00596D1E" w:rsidP="00EF5729">
            <w:pPr>
              <w:rPr>
                <w:rFonts w:eastAsia="Arial Unicode MS"/>
              </w:rPr>
            </w:pPr>
            <w:r w:rsidRPr="00E25BAA">
              <w:rPr>
                <w:rFonts w:eastAsia="Arial Unicode MS"/>
              </w:rPr>
              <w:t xml:space="preserve">Annual Earnings/Share </w:t>
            </w:r>
          </w:p>
        </w:tc>
        <w:tc>
          <w:tcPr>
            <w:tcW w:w="2173" w:type="dxa"/>
            <w:noWrap/>
            <w:hideMark/>
          </w:tcPr>
          <w:p w:rsidR="00596D1E" w:rsidRPr="00E25BAA" w:rsidRDefault="00596D1E" w:rsidP="00EF5729">
            <w:pPr>
              <w:jc w:val="center"/>
              <w:cnfStyle w:val="000000100000" w:firstRow="0" w:lastRow="0" w:firstColumn="0" w:lastColumn="0" w:oddVBand="0" w:evenVBand="0" w:oddHBand="1" w:evenHBand="0" w:firstRowFirstColumn="0" w:firstRowLastColumn="0" w:lastRowFirstColumn="0" w:lastRowLastColumn="0"/>
            </w:pPr>
            <w:r w:rsidRPr="00E25BAA">
              <w:t>$2.14</w:t>
            </w:r>
          </w:p>
        </w:tc>
        <w:tc>
          <w:tcPr>
            <w:tcW w:w="3771" w:type="dxa"/>
            <w:noWrap/>
            <w:hideMark/>
          </w:tcPr>
          <w:p w:rsidR="00596D1E" w:rsidRPr="00E25BAA" w:rsidRDefault="00596D1E" w:rsidP="00EF5729">
            <w:pPr>
              <w:jc w:val="center"/>
              <w:cnfStyle w:val="000000100000" w:firstRow="0" w:lastRow="0" w:firstColumn="0" w:lastColumn="0" w:oddVBand="0" w:evenVBand="0" w:oddHBand="1" w:evenHBand="0" w:firstRowFirstColumn="0" w:firstRowLastColumn="0" w:lastRowFirstColumn="0" w:lastRowLastColumn="0"/>
            </w:pPr>
            <w:r w:rsidRPr="00E25BAA">
              <w:t>$3.65</w:t>
            </w:r>
          </w:p>
        </w:tc>
      </w:tr>
      <w:tr w:rsidR="00596D1E" w:rsidRPr="001D30B1" w:rsidTr="00C12A5D">
        <w:trPr>
          <w:trHeight w:val="395"/>
          <w:jc w:val="center"/>
        </w:trPr>
        <w:tc>
          <w:tcPr>
            <w:cnfStyle w:val="001000000000" w:firstRow="0" w:lastRow="0" w:firstColumn="1" w:lastColumn="0" w:oddVBand="0" w:evenVBand="0" w:oddHBand="0" w:evenHBand="0" w:firstRowFirstColumn="0" w:firstRowLastColumn="0" w:lastRowFirstColumn="0" w:lastRowLastColumn="0"/>
            <w:tcW w:w="2943" w:type="dxa"/>
            <w:noWrap/>
            <w:hideMark/>
          </w:tcPr>
          <w:p w:rsidR="00596D1E" w:rsidRPr="00E25BAA" w:rsidRDefault="00596D1E" w:rsidP="00EF5729">
            <w:pPr>
              <w:rPr>
                <w:rFonts w:eastAsia="Arial Unicode MS"/>
              </w:rPr>
            </w:pPr>
            <w:r w:rsidRPr="00E25BAA">
              <w:rPr>
                <w:rFonts w:eastAsia="Arial Unicode MS"/>
              </w:rPr>
              <w:t xml:space="preserve">P/E Ratio </w:t>
            </w:r>
          </w:p>
        </w:tc>
        <w:tc>
          <w:tcPr>
            <w:tcW w:w="2173" w:type="dxa"/>
            <w:noWrap/>
            <w:hideMark/>
          </w:tcPr>
          <w:p w:rsidR="00596D1E" w:rsidRPr="00E25BAA" w:rsidRDefault="00596D1E" w:rsidP="00EF5729">
            <w:pPr>
              <w:jc w:val="center"/>
              <w:cnfStyle w:val="000000000000" w:firstRow="0" w:lastRow="0" w:firstColumn="0" w:lastColumn="0" w:oddVBand="0" w:evenVBand="0" w:oddHBand="0" w:evenHBand="0" w:firstRowFirstColumn="0" w:firstRowLastColumn="0" w:lastRowFirstColumn="0" w:lastRowLastColumn="0"/>
            </w:pPr>
            <w:r w:rsidRPr="00E25BAA">
              <w:t>18.28</w:t>
            </w:r>
          </w:p>
        </w:tc>
        <w:tc>
          <w:tcPr>
            <w:tcW w:w="3771" w:type="dxa"/>
            <w:noWrap/>
            <w:hideMark/>
          </w:tcPr>
          <w:p w:rsidR="00596D1E" w:rsidRPr="00E25BAA" w:rsidRDefault="00596D1E" w:rsidP="00EF5729">
            <w:pPr>
              <w:jc w:val="center"/>
              <w:cnfStyle w:val="000000000000" w:firstRow="0" w:lastRow="0" w:firstColumn="0" w:lastColumn="0" w:oddVBand="0" w:evenVBand="0" w:oddHBand="0" w:evenHBand="0" w:firstRowFirstColumn="0" w:firstRowLastColumn="0" w:lastRowFirstColumn="0" w:lastRowLastColumn="0"/>
            </w:pPr>
            <w:r w:rsidRPr="00E25BAA">
              <w:t>13.54</w:t>
            </w:r>
          </w:p>
        </w:tc>
      </w:tr>
      <w:tr w:rsidR="00596D1E" w:rsidRPr="001D30B1" w:rsidTr="00C12A5D">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2943" w:type="dxa"/>
            <w:noWrap/>
            <w:hideMark/>
          </w:tcPr>
          <w:p w:rsidR="00596D1E" w:rsidRPr="00E25BAA" w:rsidRDefault="008C6310" w:rsidP="00EF5729">
            <w:pPr>
              <w:rPr>
                <w:rFonts w:eastAsia="Arial Unicode MS"/>
              </w:rPr>
            </w:pPr>
            <w:r>
              <w:rPr>
                <w:rFonts w:eastAsia="Arial Unicode MS"/>
              </w:rPr>
              <w:t>Annual Dividends/S</w:t>
            </w:r>
            <w:r w:rsidR="00596D1E" w:rsidRPr="00E25BAA">
              <w:rPr>
                <w:rFonts w:eastAsia="Arial Unicode MS"/>
              </w:rPr>
              <w:t xml:space="preserve">hare </w:t>
            </w:r>
          </w:p>
        </w:tc>
        <w:tc>
          <w:tcPr>
            <w:tcW w:w="2173" w:type="dxa"/>
            <w:noWrap/>
            <w:hideMark/>
          </w:tcPr>
          <w:p w:rsidR="00596D1E" w:rsidRPr="00E25BAA" w:rsidRDefault="00596D1E" w:rsidP="00EF5729">
            <w:pPr>
              <w:jc w:val="center"/>
              <w:cnfStyle w:val="000000100000" w:firstRow="0" w:lastRow="0" w:firstColumn="0" w:lastColumn="0" w:oddVBand="0" w:evenVBand="0" w:oddHBand="1" w:evenHBand="0" w:firstRowFirstColumn="0" w:firstRowLastColumn="0" w:lastRowFirstColumn="0" w:lastRowLastColumn="0"/>
            </w:pPr>
            <w:r w:rsidRPr="00E25BAA">
              <w:t>$1.36</w:t>
            </w:r>
          </w:p>
        </w:tc>
        <w:tc>
          <w:tcPr>
            <w:tcW w:w="3771" w:type="dxa"/>
            <w:noWrap/>
            <w:hideMark/>
          </w:tcPr>
          <w:p w:rsidR="00596D1E" w:rsidRPr="00E25BAA" w:rsidRDefault="00596D1E" w:rsidP="00EF5729">
            <w:pPr>
              <w:jc w:val="center"/>
              <w:cnfStyle w:val="000000100000" w:firstRow="0" w:lastRow="0" w:firstColumn="0" w:lastColumn="0" w:oddVBand="0" w:evenVBand="0" w:oddHBand="1" w:evenHBand="0" w:firstRowFirstColumn="0" w:firstRowLastColumn="0" w:lastRowFirstColumn="0" w:lastRowLastColumn="0"/>
            </w:pPr>
            <w:r w:rsidRPr="00E25BAA">
              <w:t>$2.14</w:t>
            </w:r>
          </w:p>
        </w:tc>
      </w:tr>
      <w:tr w:rsidR="00596D1E" w:rsidRPr="001D30B1" w:rsidTr="00C12A5D">
        <w:trPr>
          <w:trHeight w:val="395"/>
          <w:jc w:val="center"/>
        </w:trPr>
        <w:tc>
          <w:tcPr>
            <w:cnfStyle w:val="001000000000" w:firstRow="0" w:lastRow="0" w:firstColumn="1" w:lastColumn="0" w:oddVBand="0" w:evenVBand="0" w:oddHBand="0" w:evenHBand="0" w:firstRowFirstColumn="0" w:firstRowLastColumn="0" w:lastRowFirstColumn="0" w:lastRowLastColumn="0"/>
            <w:tcW w:w="2943" w:type="dxa"/>
            <w:noWrap/>
            <w:hideMark/>
          </w:tcPr>
          <w:p w:rsidR="00596D1E" w:rsidRPr="00E25BAA" w:rsidRDefault="00596D1E" w:rsidP="00EF5729">
            <w:pPr>
              <w:rPr>
                <w:rFonts w:eastAsia="Arial Unicode MS"/>
              </w:rPr>
            </w:pPr>
            <w:r w:rsidRPr="00E25BAA">
              <w:rPr>
                <w:rFonts w:eastAsia="Arial Unicode MS"/>
              </w:rPr>
              <w:t xml:space="preserve">Dividend Yield </w:t>
            </w:r>
          </w:p>
        </w:tc>
        <w:tc>
          <w:tcPr>
            <w:tcW w:w="2173" w:type="dxa"/>
            <w:noWrap/>
            <w:hideMark/>
          </w:tcPr>
          <w:p w:rsidR="00596D1E" w:rsidRPr="00E25BAA" w:rsidRDefault="00596D1E" w:rsidP="00EF5729">
            <w:pPr>
              <w:jc w:val="center"/>
              <w:cnfStyle w:val="000000000000" w:firstRow="0" w:lastRow="0" w:firstColumn="0" w:lastColumn="0" w:oddVBand="0" w:evenVBand="0" w:oddHBand="0" w:evenHBand="0" w:firstRowFirstColumn="0" w:firstRowLastColumn="0" w:lastRowFirstColumn="0" w:lastRowLastColumn="0"/>
            </w:pPr>
            <w:r w:rsidRPr="00E25BAA">
              <w:t>3.57%</w:t>
            </w:r>
          </w:p>
        </w:tc>
        <w:tc>
          <w:tcPr>
            <w:tcW w:w="3771" w:type="dxa"/>
            <w:noWrap/>
            <w:hideMark/>
          </w:tcPr>
          <w:p w:rsidR="00596D1E" w:rsidRPr="00E25BAA" w:rsidRDefault="00596D1E" w:rsidP="00EF5729">
            <w:pPr>
              <w:jc w:val="center"/>
              <w:cnfStyle w:val="000000000000" w:firstRow="0" w:lastRow="0" w:firstColumn="0" w:lastColumn="0" w:oddVBand="0" w:evenVBand="0" w:oddHBand="0" w:evenHBand="0" w:firstRowFirstColumn="0" w:firstRowLastColumn="0" w:lastRowFirstColumn="0" w:lastRowLastColumn="0"/>
            </w:pPr>
            <w:r w:rsidRPr="00E25BAA">
              <w:t>3.63%</w:t>
            </w:r>
          </w:p>
        </w:tc>
      </w:tr>
    </w:tbl>
    <w:p w:rsidR="00596D1E" w:rsidRPr="00EF5729" w:rsidRDefault="00596D1E" w:rsidP="00EF5729">
      <w:pPr>
        <w:pStyle w:val="Caption"/>
        <w:rPr>
          <w:color w:val="1F497D" w:themeColor="text2"/>
        </w:rPr>
      </w:pPr>
      <w:r w:rsidRPr="00EF5729">
        <w:rPr>
          <w:color w:val="1F497D" w:themeColor="text2"/>
        </w:rPr>
        <w:t xml:space="preserve">Table </w:t>
      </w:r>
      <w:r w:rsidR="00DC40E2" w:rsidRPr="00EF5729">
        <w:rPr>
          <w:color w:val="1F497D" w:themeColor="text2"/>
        </w:rPr>
        <w:fldChar w:fldCharType="begin"/>
      </w:r>
      <w:r w:rsidRPr="00EF5729">
        <w:rPr>
          <w:color w:val="1F497D" w:themeColor="text2"/>
        </w:rPr>
        <w:instrText xml:space="preserve"> SEQ Figure \* ARABIC </w:instrText>
      </w:r>
      <w:r w:rsidR="00DC40E2" w:rsidRPr="00EF5729">
        <w:rPr>
          <w:color w:val="1F497D" w:themeColor="text2"/>
        </w:rPr>
        <w:fldChar w:fldCharType="separate"/>
      </w:r>
      <w:r w:rsidRPr="00EF5729">
        <w:rPr>
          <w:color w:val="1F497D" w:themeColor="text2"/>
        </w:rPr>
        <w:t>1</w:t>
      </w:r>
      <w:r w:rsidR="00DC40E2" w:rsidRPr="00EF5729">
        <w:rPr>
          <w:color w:val="1F497D" w:themeColor="text2"/>
        </w:rPr>
        <w:fldChar w:fldCharType="end"/>
      </w:r>
      <w:r w:rsidR="00EF5729">
        <w:rPr>
          <w:color w:val="1F497D" w:themeColor="text2"/>
        </w:rPr>
        <w:t xml:space="preserve"> - Overall Performance Data;</w:t>
      </w:r>
      <w:r w:rsidRPr="00EF5729">
        <w:rPr>
          <w:color w:val="1F497D" w:themeColor="text2"/>
        </w:rPr>
        <w:t xml:space="preserve"> based on trailing 12 months</w:t>
      </w:r>
    </w:p>
    <w:p w:rsidR="00D7466A" w:rsidRDefault="00D7466A" w:rsidP="00D7466A">
      <w:pPr>
        <w:rPr>
          <w:lang w:eastAsia="en-CA"/>
        </w:rPr>
      </w:pPr>
    </w:p>
    <w:p w:rsidR="00D7466A" w:rsidRDefault="00D7466A" w:rsidP="00D7466A">
      <w:pPr>
        <w:rPr>
          <w:lang w:eastAsia="en-CA"/>
        </w:rPr>
      </w:pPr>
    </w:p>
    <w:p w:rsidR="00EF5729" w:rsidRPr="00D7466A" w:rsidRDefault="00D7466A" w:rsidP="00EF5729">
      <w:pPr>
        <w:rPr>
          <w:color w:val="000000"/>
          <w:lang w:eastAsia="en-CA"/>
        </w:rPr>
      </w:pPr>
      <w:r>
        <w:rPr>
          <w:lang w:eastAsia="en-CA"/>
        </w:rPr>
        <w:t>Good performance and profitability are reflected in stock prices, and Rogers has shown superior performance over the past 5 years</w:t>
      </w:r>
      <w:r w:rsidR="00360E74">
        <w:rPr>
          <w:lang w:eastAsia="en-CA"/>
        </w:rPr>
        <w:t xml:space="preserve"> (Figure 1)</w:t>
      </w:r>
      <w:r>
        <w:rPr>
          <w:lang w:eastAsia="en-CA"/>
        </w:rPr>
        <w:t xml:space="preserve">. </w:t>
      </w:r>
    </w:p>
    <w:p w:rsidR="00596D1E" w:rsidRDefault="00596D1E" w:rsidP="00596D1E">
      <w:pPr>
        <w:keepNext/>
        <w:spacing w:after="0" w:line="480" w:lineRule="auto"/>
        <w:jc w:val="both"/>
      </w:pPr>
      <w:r>
        <w:rPr>
          <w:rFonts w:ascii="Times New Roman" w:hAnsi="Times New Roman"/>
          <w:noProof/>
          <w:sz w:val="24"/>
          <w:lang w:val="en-CA" w:eastAsia="en-CA"/>
        </w:rPr>
        <w:lastRenderedPageBreak/>
        <w:drawing>
          <wp:inline distT="0" distB="0" distL="0" distR="0" wp14:anchorId="05D24CBE" wp14:editId="6FD6CE91">
            <wp:extent cx="5524500" cy="1845118"/>
            <wp:effectExtent l="0" t="0" r="0" b="3175"/>
            <wp:docPr id="18" name="Picture 18" descr="C:\Users\Public\Documents\MBA\607 ACC\final_assignent\stock_comp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Documents\MBA\607 ACC\final_assignent\stock_compar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24500" cy="1845118"/>
                    </a:xfrm>
                    <a:prstGeom prst="rect">
                      <a:avLst/>
                    </a:prstGeom>
                    <a:noFill/>
                    <a:ln>
                      <a:noFill/>
                    </a:ln>
                  </pic:spPr>
                </pic:pic>
              </a:graphicData>
            </a:graphic>
          </wp:inline>
        </w:drawing>
      </w:r>
    </w:p>
    <w:p w:rsidR="00596D1E" w:rsidRPr="00BB210E" w:rsidRDefault="00596D1E" w:rsidP="00630DD2">
      <w:pPr>
        <w:pStyle w:val="Caption"/>
        <w:rPr>
          <w:i/>
          <w:color w:val="1F497D" w:themeColor="text2"/>
        </w:rPr>
      </w:pPr>
      <w:r w:rsidRPr="00630DD2">
        <w:rPr>
          <w:color w:val="1F497D" w:themeColor="text2"/>
        </w:rPr>
        <w:t>Figure 1 - Telus and Rogers Stock Market Price, 5 years</w:t>
      </w:r>
      <w:r w:rsidR="00BB210E">
        <w:rPr>
          <w:color w:val="1F497D" w:themeColor="text2"/>
        </w:rPr>
        <w:t xml:space="preserve"> </w:t>
      </w:r>
      <w:r w:rsidR="00BB210E">
        <w:rPr>
          <w:i/>
          <w:color w:val="1F497D" w:themeColor="text2"/>
        </w:rPr>
        <w:t>(Google Finance)</w:t>
      </w:r>
    </w:p>
    <w:p w:rsidR="00D7466A" w:rsidRDefault="00D7466A" w:rsidP="00D7466A">
      <w:pPr>
        <w:rPr>
          <w:lang w:eastAsia="en-CA"/>
        </w:rPr>
      </w:pPr>
    </w:p>
    <w:p w:rsidR="00BA0B0C" w:rsidRDefault="00D046BA" w:rsidP="00D7466A">
      <w:pPr>
        <w:rPr>
          <w:lang w:eastAsia="en-CA"/>
        </w:rPr>
      </w:pPr>
      <w:r>
        <w:rPr>
          <w:lang w:eastAsia="en-CA"/>
        </w:rPr>
        <w:t>Return on assets, return on equity and return on i</w:t>
      </w:r>
      <w:r w:rsidR="00D7466A" w:rsidRPr="008375C6">
        <w:rPr>
          <w:lang w:eastAsia="en-CA"/>
        </w:rPr>
        <w:t xml:space="preserve">nvestment for public companies can vary substantially and </w:t>
      </w:r>
      <w:r w:rsidR="00D7466A">
        <w:rPr>
          <w:lang w:eastAsia="en-CA"/>
        </w:rPr>
        <w:t>is</w:t>
      </w:r>
      <w:r w:rsidR="00D7466A" w:rsidRPr="008375C6">
        <w:rPr>
          <w:lang w:eastAsia="en-CA"/>
        </w:rPr>
        <w:t xml:space="preserve"> highly dependent on the industry. In this report, where both companies </w:t>
      </w:r>
      <w:r w:rsidR="00D7466A">
        <w:rPr>
          <w:lang w:eastAsia="en-CA"/>
        </w:rPr>
        <w:t xml:space="preserve">are </w:t>
      </w:r>
      <w:r w:rsidR="00D7466A" w:rsidRPr="008375C6">
        <w:rPr>
          <w:lang w:eastAsia="en-CA"/>
        </w:rPr>
        <w:t>relatively similar these indicators</w:t>
      </w:r>
      <w:r w:rsidR="00BA0B0C">
        <w:rPr>
          <w:lang w:eastAsia="en-CA"/>
        </w:rPr>
        <w:t xml:space="preserve"> are key to evaluating</w:t>
      </w:r>
      <w:r w:rsidR="00D7466A" w:rsidRPr="008375C6">
        <w:rPr>
          <w:lang w:eastAsia="en-CA"/>
        </w:rPr>
        <w:t xml:space="preserve"> efficiency and profitability. </w:t>
      </w:r>
      <w:r w:rsidR="00BA0B0C">
        <w:rPr>
          <w:lang w:eastAsia="en-CA"/>
        </w:rPr>
        <w:t>The</w:t>
      </w:r>
      <w:r w:rsidR="00D7466A">
        <w:rPr>
          <w:lang w:eastAsia="en-CA"/>
        </w:rPr>
        <w:t>se ratios clearly</w:t>
      </w:r>
      <w:r w:rsidR="00D7466A" w:rsidRPr="008375C6">
        <w:rPr>
          <w:lang w:eastAsia="en-CA"/>
        </w:rPr>
        <w:t xml:space="preserve"> show</w:t>
      </w:r>
      <w:r w:rsidR="00BA0B0C">
        <w:rPr>
          <w:lang w:eastAsia="en-CA"/>
        </w:rPr>
        <w:t xml:space="preserve"> (Table 2)</w:t>
      </w:r>
      <w:r w:rsidR="00D7466A" w:rsidRPr="008375C6">
        <w:rPr>
          <w:lang w:eastAsia="en-CA"/>
        </w:rPr>
        <w:t xml:space="preserve"> that Rogers</w:t>
      </w:r>
      <w:r w:rsidR="00D7466A">
        <w:rPr>
          <w:lang w:eastAsia="en-CA"/>
        </w:rPr>
        <w:t xml:space="preserve"> Communications Inc.</w:t>
      </w:r>
      <w:r w:rsidR="00D7466A" w:rsidRPr="008375C6">
        <w:rPr>
          <w:lang w:eastAsia="en-CA"/>
        </w:rPr>
        <w:t xml:space="preserve"> </w:t>
      </w:r>
      <w:r w:rsidR="00D7466A">
        <w:rPr>
          <w:lang w:eastAsia="en-CA"/>
        </w:rPr>
        <w:t>offers</w:t>
      </w:r>
      <w:r w:rsidR="00D7466A" w:rsidRPr="008375C6">
        <w:rPr>
          <w:lang w:eastAsia="en-CA"/>
        </w:rPr>
        <w:t xml:space="preserve"> better </w:t>
      </w:r>
      <w:r w:rsidR="00D447BB">
        <w:rPr>
          <w:lang w:eastAsia="en-CA"/>
        </w:rPr>
        <w:t>performance</w:t>
      </w:r>
      <w:r w:rsidR="00D7466A" w:rsidRPr="008375C6">
        <w:rPr>
          <w:lang w:eastAsia="en-CA"/>
        </w:rPr>
        <w:t xml:space="preserve"> </w:t>
      </w:r>
      <w:r w:rsidR="00D447BB">
        <w:rPr>
          <w:lang w:eastAsia="en-CA"/>
        </w:rPr>
        <w:t>o</w:t>
      </w:r>
      <w:r w:rsidR="00D7466A" w:rsidRPr="008375C6">
        <w:rPr>
          <w:lang w:eastAsia="en-CA"/>
        </w:rPr>
        <w:t>n all</w:t>
      </w:r>
      <w:r w:rsidR="00D7466A">
        <w:rPr>
          <w:lang w:eastAsia="en-CA"/>
        </w:rPr>
        <w:t xml:space="preserve"> these</w:t>
      </w:r>
      <w:r w:rsidR="00BA0B0C">
        <w:rPr>
          <w:lang w:eastAsia="en-CA"/>
        </w:rPr>
        <w:t xml:space="preserve"> indicators. </w:t>
      </w:r>
    </w:p>
    <w:tbl>
      <w:tblPr>
        <w:tblStyle w:val="LightList-Accent11"/>
        <w:tblW w:w="6912" w:type="dxa"/>
        <w:jc w:val="center"/>
        <w:tblLook w:val="04A0" w:firstRow="1" w:lastRow="0" w:firstColumn="1" w:lastColumn="0" w:noHBand="0" w:noVBand="1"/>
      </w:tblPr>
      <w:tblGrid>
        <w:gridCol w:w="1483"/>
        <w:gridCol w:w="2169"/>
        <w:gridCol w:w="3260"/>
      </w:tblGrid>
      <w:tr w:rsidR="00C12A5D" w:rsidRPr="0048453C" w:rsidTr="00C12A5D">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C12A5D" w:rsidRPr="00BB7101" w:rsidRDefault="00C12A5D" w:rsidP="00C12A5D">
            <w:pPr>
              <w:rPr>
                <w:lang w:eastAsia="en-CA"/>
              </w:rPr>
            </w:pPr>
            <w:r w:rsidRPr="00BB7101">
              <w:rPr>
                <w:lang w:eastAsia="en-CA"/>
              </w:rPr>
              <w:t>Index</w:t>
            </w:r>
          </w:p>
        </w:tc>
        <w:tc>
          <w:tcPr>
            <w:tcW w:w="2169" w:type="dxa"/>
          </w:tcPr>
          <w:p w:rsidR="00C12A5D" w:rsidRPr="00BB7101" w:rsidRDefault="00C12A5D" w:rsidP="00C12A5D">
            <w:pPr>
              <w:jc w:val="center"/>
              <w:cnfStyle w:val="100000000000" w:firstRow="1" w:lastRow="0" w:firstColumn="0" w:lastColumn="0" w:oddVBand="0" w:evenVBand="0" w:oddHBand="0" w:evenHBand="0" w:firstRowFirstColumn="0" w:firstRowLastColumn="0" w:lastRowFirstColumn="0" w:lastRowLastColumn="0"/>
              <w:rPr>
                <w:lang w:eastAsia="en-CA"/>
              </w:rPr>
            </w:pPr>
            <w:r w:rsidRPr="00BB7101">
              <w:rPr>
                <w:lang w:eastAsia="en-CA"/>
              </w:rPr>
              <w:t>Telus</w:t>
            </w:r>
            <w:r>
              <w:rPr>
                <w:lang w:eastAsia="en-CA"/>
              </w:rPr>
              <w:t xml:space="preserve"> Corporation</w:t>
            </w:r>
          </w:p>
        </w:tc>
        <w:tc>
          <w:tcPr>
            <w:tcW w:w="3260" w:type="dxa"/>
            <w:hideMark/>
          </w:tcPr>
          <w:p w:rsidR="00C12A5D" w:rsidRPr="00BB7101" w:rsidRDefault="00C12A5D" w:rsidP="00C12A5D">
            <w:pPr>
              <w:jc w:val="center"/>
              <w:cnfStyle w:val="100000000000" w:firstRow="1" w:lastRow="0" w:firstColumn="0" w:lastColumn="0" w:oddVBand="0" w:evenVBand="0" w:oddHBand="0" w:evenHBand="0" w:firstRowFirstColumn="0" w:firstRowLastColumn="0" w:lastRowFirstColumn="0" w:lastRowLastColumn="0"/>
              <w:rPr>
                <w:lang w:eastAsia="en-CA"/>
              </w:rPr>
            </w:pPr>
            <w:r w:rsidRPr="00BB7101">
              <w:rPr>
                <w:lang w:eastAsia="en-CA"/>
              </w:rPr>
              <w:t>Rogers</w:t>
            </w:r>
            <w:r>
              <w:rPr>
                <w:lang w:eastAsia="en-CA"/>
              </w:rPr>
              <w:t xml:space="preserve"> Communication Inc.</w:t>
            </w:r>
          </w:p>
        </w:tc>
      </w:tr>
      <w:tr w:rsidR="00C12A5D" w:rsidRPr="0048453C" w:rsidTr="00C12A5D">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C12A5D" w:rsidRPr="00BB7101" w:rsidRDefault="00C12A5D" w:rsidP="00C12A5D">
            <w:pPr>
              <w:rPr>
                <w:lang w:eastAsia="en-CA"/>
              </w:rPr>
            </w:pPr>
            <w:r w:rsidRPr="00BB7101">
              <w:rPr>
                <w:lang w:eastAsia="en-CA"/>
              </w:rPr>
              <w:t>Earnings Per Share</w:t>
            </w:r>
          </w:p>
        </w:tc>
        <w:tc>
          <w:tcPr>
            <w:tcW w:w="2169" w:type="dxa"/>
          </w:tcPr>
          <w:p w:rsidR="00C12A5D" w:rsidRPr="00BB7101" w:rsidRDefault="00C12A5D" w:rsidP="00C12A5D">
            <w:pPr>
              <w:jc w:val="center"/>
              <w:cnfStyle w:val="000000100000" w:firstRow="0" w:lastRow="0" w:firstColumn="0" w:lastColumn="0" w:oddVBand="0" w:evenVBand="0" w:oddHBand="1" w:evenHBand="0" w:firstRowFirstColumn="0" w:firstRowLastColumn="0" w:lastRowFirstColumn="0" w:lastRowLastColumn="0"/>
              <w:rPr>
                <w:lang w:eastAsia="en-CA"/>
              </w:rPr>
            </w:pPr>
            <w:r w:rsidRPr="00BB7101">
              <w:rPr>
                <w:lang w:eastAsia="en-CA"/>
              </w:rPr>
              <w:t>2.13</w:t>
            </w:r>
          </w:p>
        </w:tc>
        <w:tc>
          <w:tcPr>
            <w:tcW w:w="3260" w:type="dxa"/>
            <w:hideMark/>
          </w:tcPr>
          <w:p w:rsidR="00C12A5D" w:rsidRPr="00BB7101" w:rsidRDefault="00C12A5D" w:rsidP="00C12A5D">
            <w:pPr>
              <w:jc w:val="center"/>
              <w:cnfStyle w:val="000000100000" w:firstRow="0" w:lastRow="0" w:firstColumn="0" w:lastColumn="0" w:oddVBand="0" w:evenVBand="0" w:oddHBand="1" w:evenHBand="0" w:firstRowFirstColumn="0" w:firstRowLastColumn="0" w:lastRowFirstColumn="0" w:lastRowLastColumn="0"/>
              <w:rPr>
                <w:lang w:eastAsia="en-CA"/>
              </w:rPr>
            </w:pPr>
            <w:r w:rsidRPr="00BB7101">
              <w:rPr>
                <w:lang w:eastAsia="en-CA"/>
              </w:rPr>
              <w:t>3.63</w:t>
            </w:r>
          </w:p>
        </w:tc>
      </w:tr>
      <w:tr w:rsidR="00C12A5D" w:rsidRPr="0048453C" w:rsidTr="00C12A5D">
        <w:trPr>
          <w:trHeight w:val="531"/>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C12A5D" w:rsidRPr="00BB7101" w:rsidRDefault="00C12A5D" w:rsidP="00C12A5D">
            <w:pPr>
              <w:rPr>
                <w:lang w:eastAsia="en-CA"/>
              </w:rPr>
            </w:pPr>
            <w:r w:rsidRPr="00BB7101">
              <w:rPr>
                <w:lang w:eastAsia="en-CA"/>
              </w:rPr>
              <w:t>Return on Assets</w:t>
            </w:r>
          </w:p>
        </w:tc>
        <w:tc>
          <w:tcPr>
            <w:tcW w:w="2169" w:type="dxa"/>
          </w:tcPr>
          <w:p w:rsidR="00C12A5D" w:rsidRPr="00BB7101" w:rsidRDefault="00C12A5D" w:rsidP="00C12A5D">
            <w:pPr>
              <w:jc w:val="center"/>
              <w:cnfStyle w:val="000000000000" w:firstRow="0" w:lastRow="0" w:firstColumn="0" w:lastColumn="0" w:oddVBand="0" w:evenVBand="0" w:oddHBand="0" w:evenHBand="0" w:firstRowFirstColumn="0" w:firstRowLastColumn="0" w:lastRowFirstColumn="0" w:lastRowLastColumn="0"/>
              <w:rPr>
                <w:lang w:eastAsia="en-CA"/>
              </w:rPr>
            </w:pPr>
            <w:r w:rsidRPr="00BB7101">
              <w:rPr>
                <w:lang w:eastAsia="en-CA"/>
              </w:rPr>
              <w:t>6.53</w:t>
            </w:r>
          </w:p>
        </w:tc>
        <w:tc>
          <w:tcPr>
            <w:tcW w:w="3260" w:type="dxa"/>
            <w:hideMark/>
          </w:tcPr>
          <w:p w:rsidR="00C12A5D" w:rsidRPr="00BB7101" w:rsidRDefault="00C12A5D" w:rsidP="00C12A5D">
            <w:pPr>
              <w:jc w:val="center"/>
              <w:cnfStyle w:val="000000000000" w:firstRow="0" w:lastRow="0" w:firstColumn="0" w:lastColumn="0" w:oddVBand="0" w:evenVBand="0" w:oddHBand="0" w:evenHBand="0" w:firstRowFirstColumn="0" w:firstRowLastColumn="0" w:lastRowFirstColumn="0" w:lastRowLastColumn="0"/>
              <w:rPr>
                <w:lang w:eastAsia="en-CA"/>
              </w:rPr>
            </w:pPr>
            <w:r w:rsidRPr="00BB7101">
              <w:rPr>
                <w:lang w:eastAsia="en-CA"/>
              </w:rPr>
              <w:t>9.12</w:t>
            </w:r>
          </w:p>
        </w:tc>
      </w:tr>
      <w:tr w:rsidR="00C12A5D" w:rsidRPr="0048453C" w:rsidTr="00C12A5D">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C12A5D" w:rsidRPr="00BB7101" w:rsidRDefault="00C12A5D" w:rsidP="00C12A5D">
            <w:pPr>
              <w:rPr>
                <w:lang w:eastAsia="en-CA"/>
              </w:rPr>
            </w:pPr>
            <w:r w:rsidRPr="00BB7101">
              <w:rPr>
                <w:lang w:eastAsia="en-CA"/>
              </w:rPr>
              <w:t>Return on Equity</w:t>
            </w:r>
          </w:p>
        </w:tc>
        <w:tc>
          <w:tcPr>
            <w:tcW w:w="2169" w:type="dxa"/>
          </w:tcPr>
          <w:p w:rsidR="00C12A5D" w:rsidRPr="00BB7101" w:rsidRDefault="00C12A5D" w:rsidP="00C12A5D">
            <w:pPr>
              <w:jc w:val="center"/>
              <w:cnfStyle w:val="000000100000" w:firstRow="0" w:lastRow="0" w:firstColumn="0" w:lastColumn="0" w:oddVBand="0" w:evenVBand="0" w:oddHBand="1" w:evenHBand="0" w:firstRowFirstColumn="0" w:firstRowLastColumn="0" w:lastRowFirstColumn="0" w:lastRowLastColumn="0"/>
              <w:rPr>
                <w:lang w:eastAsia="en-CA"/>
              </w:rPr>
            </w:pPr>
            <w:r w:rsidRPr="00BB7101">
              <w:rPr>
                <w:lang w:eastAsia="en-CA"/>
              </w:rPr>
              <w:t>7.34</w:t>
            </w:r>
          </w:p>
        </w:tc>
        <w:tc>
          <w:tcPr>
            <w:tcW w:w="3260" w:type="dxa"/>
            <w:hideMark/>
          </w:tcPr>
          <w:p w:rsidR="00C12A5D" w:rsidRPr="00BB7101" w:rsidRDefault="00C12A5D" w:rsidP="00C12A5D">
            <w:pPr>
              <w:jc w:val="center"/>
              <w:cnfStyle w:val="000000100000" w:firstRow="0" w:lastRow="0" w:firstColumn="0" w:lastColumn="0" w:oddVBand="0" w:evenVBand="0" w:oddHBand="1" w:evenHBand="0" w:firstRowFirstColumn="0" w:firstRowLastColumn="0" w:lastRowFirstColumn="0" w:lastRowLastColumn="0"/>
              <w:rPr>
                <w:lang w:eastAsia="en-CA"/>
              </w:rPr>
            </w:pPr>
            <w:r w:rsidRPr="00BB7101">
              <w:rPr>
                <w:lang w:eastAsia="en-CA"/>
              </w:rPr>
              <w:t>47.19</w:t>
            </w:r>
          </w:p>
        </w:tc>
      </w:tr>
      <w:tr w:rsidR="00C12A5D" w:rsidRPr="0048453C" w:rsidTr="00C12A5D">
        <w:trPr>
          <w:trHeight w:val="531"/>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C12A5D" w:rsidRPr="00BB7101" w:rsidRDefault="00C12A5D" w:rsidP="00C12A5D">
            <w:pPr>
              <w:rPr>
                <w:lang w:eastAsia="en-CA"/>
              </w:rPr>
            </w:pPr>
            <w:r w:rsidRPr="00BB7101">
              <w:rPr>
                <w:lang w:eastAsia="en-CA"/>
              </w:rPr>
              <w:t>Return on Investment</w:t>
            </w:r>
          </w:p>
        </w:tc>
        <w:tc>
          <w:tcPr>
            <w:tcW w:w="2169" w:type="dxa"/>
          </w:tcPr>
          <w:p w:rsidR="00C12A5D" w:rsidRPr="00BB7101" w:rsidRDefault="00C12A5D" w:rsidP="00C12A5D">
            <w:pPr>
              <w:jc w:val="center"/>
              <w:cnfStyle w:val="000000000000" w:firstRow="0" w:lastRow="0" w:firstColumn="0" w:lastColumn="0" w:oddVBand="0" w:evenVBand="0" w:oddHBand="0" w:evenHBand="0" w:firstRowFirstColumn="0" w:firstRowLastColumn="0" w:lastRowFirstColumn="0" w:lastRowLastColumn="0"/>
              <w:rPr>
                <w:lang w:eastAsia="en-CA"/>
              </w:rPr>
            </w:pPr>
            <w:r w:rsidRPr="00BB7101">
              <w:rPr>
                <w:lang w:eastAsia="en-CA"/>
              </w:rPr>
              <w:t>7.99</w:t>
            </w:r>
          </w:p>
        </w:tc>
        <w:tc>
          <w:tcPr>
            <w:tcW w:w="3260" w:type="dxa"/>
            <w:hideMark/>
          </w:tcPr>
          <w:p w:rsidR="00C12A5D" w:rsidRPr="00BB7101" w:rsidRDefault="00C12A5D" w:rsidP="00C12A5D">
            <w:pPr>
              <w:jc w:val="center"/>
              <w:cnfStyle w:val="000000000000" w:firstRow="0" w:lastRow="0" w:firstColumn="0" w:lastColumn="0" w:oddVBand="0" w:evenVBand="0" w:oddHBand="0" w:evenHBand="0" w:firstRowFirstColumn="0" w:firstRowLastColumn="0" w:lastRowFirstColumn="0" w:lastRowLastColumn="0"/>
              <w:rPr>
                <w:lang w:eastAsia="en-CA"/>
              </w:rPr>
            </w:pPr>
            <w:r w:rsidRPr="00BB7101">
              <w:rPr>
                <w:lang w:eastAsia="en-CA"/>
              </w:rPr>
              <w:t>10.68</w:t>
            </w:r>
          </w:p>
        </w:tc>
      </w:tr>
    </w:tbl>
    <w:p w:rsidR="00596D1E" w:rsidRPr="00D7466A" w:rsidRDefault="00C12A5D" w:rsidP="00C12A5D">
      <w:pPr>
        <w:pStyle w:val="Caption"/>
        <w:ind w:left="720"/>
        <w:rPr>
          <w:color w:val="1F497D" w:themeColor="text2"/>
        </w:rPr>
      </w:pPr>
      <w:r>
        <w:rPr>
          <w:color w:val="1F497D" w:themeColor="text2"/>
        </w:rPr>
        <w:t xml:space="preserve">  </w:t>
      </w:r>
      <w:r w:rsidR="00596D1E" w:rsidRPr="00D7466A">
        <w:rPr>
          <w:color w:val="1F497D" w:themeColor="text2"/>
        </w:rPr>
        <w:t>Table 2 - Return Indexes</w:t>
      </w:r>
    </w:p>
    <w:p w:rsidR="00596D1E" w:rsidRPr="008375C6" w:rsidRDefault="00596D1E" w:rsidP="00596D1E">
      <w:pPr>
        <w:pStyle w:val="Heading2"/>
        <w:rPr>
          <w:lang w:eastAsia="en-CA"/>
        </w:rPr>
      </w:pPr>
      <w:bookmarkStart w:id="15" w:name="_Toc374518261"/>
      <w:r>
        <w:rPr>
          <w:lang w:eastAsia="en-CA"/>
        </w:rPr>
        <w:lastRenderedPageBreak/>
        <w:t>Profitability</w:t>
      </w:r>
      <w:bookmarkEnd w:id="15"/>
    </w:p>
    <w:p w:rsidR="00937A54" w:rsidRPr="00937A54" w:rsidRDefault="00596D1E" w:rsidP="00937A54">
      <w:pPr>
        <w:rPr>
          <w:lang w:eastAsia="en-CA"/>
        </w:rPr>
      </w:pPr>
      <w:r w:rsidRPr="008375C6">
        <w:rPr>
          <w:lang w:eastAsia="en-CA"/>
        </w:rPr>
        <w:t>In terms of profitability, both companies a</w:t>
      </w:r>
      <w:r>
        <w:rPr>
          <w:lang w:eastAsia="en-CA"/>
        </w:rPr>
        <w:t xml:space="preserve">re generating positive returns. However, </w:t>
      </w:r>
      <w:r w:rsidRPr="008375C6">
        <w:rPr>
          <w:lang w:eastAsia="en-CA"/>
        </w:rPr>
        <w:t xml:space="preserve">Telus has been </w:t>
      </w:r>
      <w:r>
        <w:rPr>
          <w:lang w:eastAsia="en-CA"/>
        </w:rPr>
        <w:t>performing better</w:t>
      </w:r>
      <w:r w:rsidRPr="008375C6">
        <w:rPr>
          <w:lang w:eastAsia="en-CA"/>
        </w:rPr>
        <w:t xml:space="preserve"> in terms of gross margins </w:t>
      </w:r>
      <w:r w:rsidR="005A6D4E">
        <w:rPr>
          <w:lang w:eastAsia="en-CA"/>
        </w:rPr>
        <w:t>as shown in Figure 2</w:t>
      </w:r>
      <w:r w:rsidRPr="008375C6">
        <w:rPr>
          <w:lang w:eastAsia="en-CA"/>
        </w:rPr>
        <w:t>.</w:t>
      </w:r>
      <w:r w:rsidR="009B3D72">
        <w:rPr>
          <w:lang w:eastAsia="en-CA"/>
        </w:rPr>
        <w:t xml:space="preserve"> No significant difference can be observed in operating margins between the two companies, although t</w:t>
      </w:r>
      <w:r w:rsidR="00EA6C95">
        <w:rPr>
          <w:lang w:eastAsia="en-CA"/>
        </w:rPr>
        <w:t>he operating margins</w:t>
      </w:r>
      <w:r w:rsidR="009B3D72">
        <w:rPr>
          <w:lang w:eastAsia="en-CA"/>
        </w:rPr>
        <w:t xml:space="preserve"> for Rogers </w:t>
      </w:r>
      <w:r w:rsidR="00EA6C95">
        <w:rPr>
          <w:lang w:eastAsia="en-CA"/>
        </w:rPr>
        <w:t>are</w:t>
      </w:r>
      <w:r w:rsidR="009B3D72">
        <w:rPr>
          <w:lang w:eastAsia="en-CA"/>
        </w:rPr>
        <w:t xml:space="preserve"> slightly greater than Telus</w:t>
      </w:r>
      <w:r w:rsidR="00EA6C95">
        <w:rPr>
          <w:lang w:eastAsia="en-CA"/>
        </w:rPr>
        <w:t>’</w:t>
      </w:r>
      <w:r w:rsidR="009B3D72">
        <w:rPr>
          <w:lang w:eastAsia="en-CA"/>
        </w:rPr>
        <w:t xml:space="preserve"> (Figure 3).</w:t>
      </w:r>
    </w:p>
    <w:p w:rsidR="005A6D4E" w:rsidRDefault="005A6D4E" w:rsidP="005A6D4E">
      <w:pPr>
        <w:spacing w:after="0"/>
        <w:jc w:val="center"/>
        <w:rPr>
          <w:rFonts w:ascii="Times New Roman" w:hAnsi="Times New Roman"/>
          <w:noProof/>
          <w:sz w:val="24"/>
        </w:rPr>
      </w:pPr>
      <w:r w:rsidRPr="005A6D4E">
        <w:rPr>
          <w:rFonts w:ascii="Times New Roman" w:hAnsi="Times New Roman"/>
          <w:noProof/>
          <w:sz w:val="24"/>
          <w:lang w:val="en-CA" w:eastAsia="en-CA"/>
        </w:rPr>
        <w:drawing>
          <wp:inline distT="0" distB="0" distL="0" distR="0" wp14:anchorId="26AF839F" wp14:editId="36592C53">
            <wp:extent cx="4572000" cy="2743200"/>
            <wp:effectExtent l="19050" t="0" r="1905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37A54" w:rsidRPr="00937A54" w:rsidRDefault="00937A54" w:rsidP="00937A54">
      <w:pPr>
        <w:pStyle w:val="Caption"/>
        <w:rPr>
          <w:color w:val="1F497D" w:themeColor="text2"/>
          <w:lang w:eastAsia="en-CA"/>
        </w:rPr>
      </w:pPr>
      <w:r>
        <w:rPr>
          <w:color w:val="1F497D" w:themeColor="text2"/>
          <w:lang w:eastAsia="en-CA"/>
        </w:rPr>
        <w:t>Figure</w:t>
      </w:r>
      <w:r w:rsidR="005A6D4E" w:rsidRPr="005A6D4E">
        <w:rPr>
          <w:color w:val="1F497D" w:themeColor="text2"/>
          <w:lang w:eastAsia="en-CA"/>
        </w:rPr>
        <w:t xml:space="preserve"> </w:t>
      </w:r>
      <w:r w:rsidR="00104AA9">
        <w:rPr>
          <w:color w:val="1F497D" w:themeColor="text2"/>
          <w:lang w:eastAsia="en-CA"/>
        </w:rPr>
        <w:t xml:space="preserve">2 - </w:t>
      </w:r>
      <w:r w:rsidR="009B3D72">
        <w:rPr>
          <w:color w:val="1F497D" w:themeColor="text2"/>
          <w:lang w:eastAsia="en-CA"/>
        </w:rPr>
        <w:t xml:space="preserve">Comparison of Gross </w:t>
      </w:r>
      <w:r w:rsidR="005A6D4E" w:rsidRPr="005A6D4E">
        <w:rPr>
          <w:color w:val="1F497D" w:themeColor="text2"/>
          <w:lang w:eastAsia="en-CA"/>
        </w:rPr>
        <w:t xml:space="preserve">Margins for Telus and Rogers </w:t>
      </w:r>
      <w:r w:rsidR="009B3D72">
        <w:rPr>
          <w:color w:val="1F497D" w:themeColor="text2"/>
          <w:lang w:eastAsia="en-CA"/>
        </w:rPr>
        <w:t>(2009-</w:t>
      </w:r>
      <w:r w:rsidR="005A6D4E" w:rsidRPr="005A6D4E">
        <w:rPr>
          <w:color w:val="1F497D" w:themeColor="text2"/>
          <w:lang w:eastAsia="en-CA"/>
        </w:rPr>
        <w:t>2012</w:t>
      </w:r>
      <w:r w:rsidR="009B3D72">
        <w:rPr>
          <w:color w:val="1F497D" w:themeColor="text2"/>
          <w:lang w:eastAsia="en-CA"/>
        </w:rPr>
        <w:t>)</w:t>
      </w:r>
    </w:p>
    <w:p w:rsidR="005A6D4E" w:rsidRDefault="009B3D72" w:rsidP="009B3D72">
      <w:pPr>
        <w:spacing w:after="0"/>
        <w:jc w:val="center"/>
        <w:rPr>
          <w:rFonts w:ascii="Times New Roman" w:hAnsi="Times New Roman"/>
          <w:noProof/>
          <w:sz w:val="24"/>
        </w:rPr>
      </w:pPr>
      <w:r w:rsidRPr="009B3D72">
        <w:rPr>
          <w:rFonts w:ascii="Times New Roman" w:hAnsi="Times New Roman"/>
          <w:noProof/>
          <w:sz w:val="24"/>
          <w:lang w:val="en-CA" w:eastAsia="en-CA"/>
        </w:rPr>
        <w:drawing>
          <wp:inline distT="0" distB="0" distL="0" distR="0" wp14:anchorId="16064386" wp14:editId="09591737">
            <wp:extent cx="4572000" cy="2743200"/>
            <wp:effectExtent l="19050" t="0" r="19050" b="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96D1E" w:rsidRPr="00104AA9" w:rsidRDefault="00937A54" w:rsidP="00104AA9">
      <w:pPr>
        <w:pStyle w:val="Caption"/>
        <w:rPr>
          <w:color w:val="1F497D" w:themeColor="text2"/>
          <w:lang w:eastAsia="en-CA"/>
        </w:rPr>
      </w:pPr>
      <w:r>
        <w:rPr>
          <w:color w:val="1F497D" w:themeColor="text2"/>
          <w:lang w:eastAsia="en-CA"/>
        </w:rPr>
        <w:t xml:space="preserve">Figure </w:t>
      </w:r>
      <w:r w:rsidR="00104AA9" w:rsidRPr="00104AA9">
        <w:rPr>
          <w:color w:val="1F497D" w:themeColor="text2"/>
          <w:lang w:eastAsia="en-CA"/>
        </w:rPr>
        <w:t>3</w:t>
      </w:r>
      <w:r w:rsidR="00104AA9">
        <w:rPr>
          <w:color w:val="1F497D" w:themeColor="text2"/>
          <w:lang w:eastAsia="en-CA"/>
        </w:rPr>
        <w:t xml:space="preserve"> -</w:t>
      </w:r>
      <w:r w:rsidR="00596D1E" w:rsidRPr="00104AA9">
        <w:rPr>
          <w:color w:val="1F497D" w:themeColor="text2"/>
          <w:lang w:eastAsia="en-CA"/>
        </w:rPr>
        <w:t xml:space="preserve"> </w:t>
      </w:r>
      <w:r w:rsidR="009B3D72" w:rsidRPr="00104AA9">
        <w:rPr>
          <w:color w:val="1F497D" w:themeColor="text2"/>
          <w:lang w:eastAsia="en-CA"/>
        </w:rPr>
        <w:t xml:space="preserve">Comparison of </w:t>
      </w:r>
      <w:r w:rsidR="00596D1E" w:rsidRPr="00104AA9">
        <w:rPr>
          <w:color w:val="1F497D" w:themeColor="text2"/>
          <w:lang w:eastAsia="en-CA"/>
        </w:rPr>
        <w:t xml:space="preserve">Operating Margins for Telus and Rogers </w:t>
      </w:r>
      <w:r w:rsidR="009B3D72" w:rsidRPr="00104AA9">
        <w:rPr>
          <w:color w:val="1F497D" w:themeColor="text2"/>
          <w:lang w:eastAsia="en-CA"/>
        </w:rPr>
        <w:t>(</w:t>
      </w:r>
      <w:r w:rsidR="00596D1E" w:rsidRPr="00104AA9">
        <w:rPr>
          <w:color w:val="1F497D" w:themeColor="text2"/>
          <w:lang w:eastAsia="en-CA"/>
        </w:rPr>
        <w:t>2009</w:t>
      </w:r>
      <w:r w:rsidR="009B3D72" w:rsidRPr="00104AA9">
        <w:rPr>
          <w:color w:val="1F497D" w:themeColor="text2"/>
          <w:lang w:eastAsia="en-CA"/>
        </w:rPr>
        <w:t>-</w:t>
      </w:r>
      <w:r w:rsidR="00596D1E" w:rsidRPr="00104AA9">
        <w:rPr>
          <w:color w:val="1F497D" w:themeColor="text2"/>
          <w:lang w:eastAsia="en-CA"/>
        </w:rPr>
        <w:t>2012</w:t>
      </w:r>
      <w:r w:rsidR="009B3D72" w:rsidRPr="00104AA9">
        <w:rPr>
          <w:color w:val="1F497D" w:themeColor="text2"/>
          <w:sz w:val="17"/>
          <w:szCs w:val="17"/>
          <w:lang w:eastAsia="en-CA"/>
        </w:rPr>
        <w:t>)</w:t>
      </w:r>
    </w:p>
    <w:p w:rsidR="003E2AA6" w:rsidRDefault="003E2AA6" w:rsidP="003E2AA6">
      <w:pPr>
        <w:rPr>
          <w:lang w:eastAsia="en-CA"/>
        </w:rPr>
      </w:pPr>
    </w:p>
    <w:p w:rsidR="00DE401A" w:rsidRDefault="003E2AA6" w:rsidP="003E2AA6">
      <w:pPr>
        <w:rPr>
          <w:lang w:eastAsia="en-CA"/>
        </w:rPr>
      </w:pPr>
      <w:r>
        <w:rPr>
          <w:lang w:eastAsia="en-CA"/>
        </w:rPr>
        <w:t xml:space="preserve">The </w:t>
      </w:r>
      <w:r w:rsidR="00596D1E" w:rsidRPr="008375C6">
        <w:rPr>
          <w:lang w:eastAsia="en-CA"/>
        </w:rPr>
        <w:t>decrease</w:t>
      </w:r>
      <w:r w:rsidR="00596D1E">
        <w:rPr>
          <w:lang w:eastAsia="en-CA"/>
        </w:rPr>
        <w:t xml:space="preserve"> in the gross margins</w:t>
      </w:r>
      <w:r w:rsidR="00596D1E" w:rsidRPr="008375C6">
        <w:rPr>
          <w:lang w:eastAsia="en-CA"/>
        </w:rPr>
        <w:t xml:space="preserve"> </w:t>
      </w:r>
      <w:r>
        <w:rPr>
          <w:lang w:eastAsia="en-CA"/>
        </w:rPr>
        <w:t xml:space="preserve">observed by both Rogers and Telus </w:t>
      </w:r>
      <w:r w:rsidR="00596D1E" w:rsidRPr="008375C6">
        <w:rPr>
          <w:lang w:eastAsia="en-CA"/>
        </w:rPr>
        <w:t>in recent years</w:t>
      </w:r>
      <w:r>
        <w:rPr>
          <w:lang w:eastAsia="en-CA"/>
        </w:rPr>
        <w:t xml:space="preserve"> is a</w:t>
      </w:r>
      <w:r w:rsidR="00596D1E" w:rsidRPr="008375C6">
        <w:rPr>
          <w:lang w:eastAsia="en-CA"/>
        </w:rPr>
        <w:t xml:space="preserve"> reflect</w:t>
      </w:r>
      <w:r>
        <w:rPr>
          <w:lang w:eastAsia="en-CA"/>
        </w:rPr>
        <w:t>ion of</w:t>
      </w:r>
      <w:r w:rsidR="00596D1E" w:rsidRPr="008375C6">
        <w:rPr>
          <w:lang w:eastAsia="en-CA"/>
        </w:rPr>
        <w:t xml:space="preserve"> the increase in competition in this </w:t>
      </w:r>
      <w:r>
        <w:rPr>
          <w:lang w:eastAsia="en-CA"/>
        </w:rPr>
        <w:t>o</w:t>
      </w:r>
      <w:r w:rsidR="00596D1E" w:rsidRPr="008375C6">
        <w:rPr>
          <w:lang w:eastAsia="en-CA"/>
        </w:rPr>
        <w:t>ligopol</w:t>
      </w:r>
      <w:r w:rsidR="00596D1E">
        <w:rPr>
          <w:lang w:eastAsia="en-CA"/>
        </w:rPr>
        <w:t>istic</w:t>
      </w:r>
      <w:r w:rsidR="00596D1E" w:rsidRPr="008375C6">
        <w:rPr>
          <w:lang w:eastAsia="en-CA"/>
        </w:rPr>
        <w:t xml:space="preserve"> industry. </w:t>
      </w:r>
      <w:r w:rsidR="00DE401A">
        <w:rPr>
          <w:lang w:eastAsia="en-CA"/>
        </w:rPr>
        <w:t xml:space="preserve">It is likely that this situation will be further exacerbated as the Canadian government encourages greater </w:t>
      </w:r>
      <w:r w:rsidR="00673971">
        <w:rPr>
          <w:lang w:eastAsia="en-CA"/>
        </w:rPr>
        <w:t>competition</w:t>
      </w:r>
      <w:r w:rsidR="00DE401A">
        <w:rPr>
          <w:lang w:eastAsia="en-CA"/>
        </w:rPr>
        <w:t xml:space="preserve"> in the telecommunications industry. As major players in this market, it is likely that Rogers and Telus will suffer from an increase in competition and </w:t>
      </w:r>
      <w:r w:rsidR="00DE401A" w:rsidRPr="008375C6">
        <w:rPr>
          <w:lang w:eastAsia="en-CA"/>
        </w:rPr>
        <w:t xml:space="preserve">margins </w:t>
      </w:r>
      <w:r w:rsidR="00DE401A">
        <w:rPr>
          <w:lang w:eastAsia="en-CA"/>
        </w:rPr>
        <w:t>will</w:t>
      </w:r>
      <w:r w:rsidR="00DE401A" w:rsidRPr="008375C6">
        <w:rPr>
          <w:lang w:eastAsia="en-CA"/>
        </w:rPr>
        <w:t xml:space="preserve"> be </w:t>
      </w:r>
      <w:r w:rsidR="00DE401A">
        <w:rPr>
          <w:lang w:eastAsia="en-CA"/>
        </w:rPr>
        <w:t xml:space="preserve">further </w:t>
      </w:r>
      <w:r w:rsidR="00DE401A" w:rsidRPr="008375C6">
        <w:rPr>
          <w:lang w:eastAsia="en-CA"/>
        </w:rPr>
        <w:t>reduced</w:t>
      </w:r>
      <w:r w:rsidR="00DE401A">
        <w:rPr>
          <w:lang w:eastAsia="en-CA"/>
        </w:rPr>
        <w:t>. However</w:t>
      </w:r>
      <w:r w:rsidR="00A24524">
        <w:rPr>
          <w:lang w:eastAsia="en-CA"/>
        </w:rPr>
        <w:t>,</w:t>
      </w:r>
      <w:r w:rsidR="00DE401A">
        <w:rPr>
          <w:lang w:eastAsia="en-CA"/>
        </w:rPr>
        <w:t xml:space="preserve"> it will likely </w:t>
      </w:r>
      <w:r w:rsidR="00AC1613">
        <w:rPr>
          <w:lang w:eastAsia="en-CA"/>
        </w:rPr>
        <w:t xml:space="preserve">be a few years </w:t>
      </w:r>
      <w:r w:rsidR="00DE401A">
        <w:rPr>
          <w:lang w:eastAsia="en-CA"/>
        </w:rPr>
        <w:t xml:space="preserve">before </w:t>
      </w:r>
      <w:r w:rsidR="00AC1613">
        <w:rPr>
          <w:lang w:eastAsia="en-CA"/>
        </w:rPr>
        <w:t>t</w:t>
      </w:r>
      <w:r w:rsidR="00DE401A">
        <w:rPr>
          <w:lang w:eastAsia="en-CA"/>
        </w:rPr>
        <w:t>he full effect</w:t>
      </w:r>
      <w:r w:rsidR="00AC1613">
        <w:rPr>
          <w:lang w:eastAsia="en-CA"/>
        </w:rPr>
        <w:t>s</w:t>
      </w:r>
      <w:r w:rsidR="00DE401A">
        <w:rPr>
          <w:lang w:eastAsia="en-CA"/>
        </w:rPr>
        <w:t xml:space="preserve"> of this</w:t>
      </w:r>
      <w:r w:rsidR="00AC1613">
        <w:rPr>
          <w:lang w:eastAsia="en-CA"/>
        </w:rPr>
        <w:t xml:space="preserve"> are felt by Rogers and Telus</w:t>
      </w:r>
      <w:r w:rsidR="00673971">
        <w:rPr>
          <w:lang w:eastAsia="en-CA"/>
        </w:rPr>
        <w:t xml:space="preserve"> and should not affect one more than the other</w:t>
      </w:r>
      <w:r w:rsidR="00AC1613">
        <w:rPr>
          <w:lang w:eastAsia="en-CA"/>
        </w:rPr>
        <w:t>.</w:t>
      </w:r>
    </w:p>
    <w:p w:rsidR="00DE401A" w:rsidRDefault="00DE401A" w:rsidP="003E2AA6">
      <w:pPr>
        <w:rPr>
          <w:lang w:eastAsia="en-CA"/>
        </w:rPr>
      </w:pPr>
    </w:p>
    <w:p w:rsidR="00593909" w:rsidRDefault="007478BE" w:rsidP="007478BE">
      <w:pPr>
        <w:rPr>
          <w:lang w:eastAsia="en-CA"/>
        </w:rPr>
      </w:pPr>
      <w:r>
        <w:rPr>
          <w:lang w:eastAsia="en-CA"/>
        </w:rPr>
        <w:t>A</w:t>
      </w:r>
      <w:r w:rsidR="00596D1E" w:rsidRPr="008375C6">
        <w:rPr>
          <w:lang w:eastAsia="en-CA"/>
        </w:rPr>
        <w:t xml:space="preserve"> downwards trend is also observable in the </w:t>
      </w:r>
      <w:r>
        <w:rPr>
          <w:lang w:eastAsia="en-CA"/>
        </w:rPr>
        <w:t>c</w:t>
      </w:r>
      <w:r w:rsidR="00596D1E" w:rsidRPr="008375C6">
        <w:rPr>
          <w:lang w:eastAsia="en-CA"/>
        </w:rPr>
        <w:t>ash</w:t>
      </w:r>
      <w:r w:rsidR="00593909">
        <w:rPr>
          <w:lang w:eastAsia="en-CA"/>
        </w:rPr>
        <w:t xml:space="preserve"> available from operating activities</w:t>
      </w:r>
      <w:r w:rsidR="00596D1E" w:rsidRPr="008375C6">
        <w:rPr>
          <w:lang w:eastAsia="en-CA"/>
        </w:rPr>
        <w:t xml:space="preserve">. </w:t>
      </w:r>
      <w:r w:rsidR="00596D1E">
        <w:rPr>
          <w:lang w:eastAsia="en-CA"/>
        </w:rPr>
        <w:t xml:space="preserve">As shown in Figure </w:t>
      </w:r>
      <w:r>
        <w:rPr>
          <w:lang w:eastAsia="en-CA"/>
        </w:rPr>
        <w:t>4</w:t>
      </w:r>
      <w:r w:rsidR="00596D1E">
        <w:rPr>
          <w:lang w:eastAsia="en-CA"/>
        </w:rPr>
        <w:t>, b</w:t>
      </w:r>
      <w:r w:rsidR="00596D1E" w:rsidRPr="008375C6">
        <w:rPr>
          <w:lang w:eastAsia="en-CA"/>
        </w:rPr>
        <w:t xml:space="preserve">oth companies have seen reduced </w:t>
      </w:r>
      <w:r w:rsidR="00593909">
        <w:rPr>
          <w:lang w:eastAsia="en-CA"/>
        </w:rPr>
        <w:t>cash from operating activities</w:t>
      </w:r>
      <w:r w:rsidR="00596D1E" w:rsidRPr="008375C6">
        <w:rPr>
          <w:lang w:eastAsia="en-CA"/>
        </w:rPr>
        <w:t xml:space="preserve"> over the past few years</w:t>
      </w:r>
      <w:r>
        <w:rPr>
          <w:lang w:eastAsia="en-CA"/>
        </w:rPr>
        <w:t>. Nonetheless</w:t>
      </w:r>
      <w:r w:rsidR="00596D1E" w:rsidRPr="008375C6">
        <w:rPr>
          <w:lang w:eastAsia="en-CA"/>
        </w:rPr>
        <w:t xml:space="preserve">, </w:t>
      </w:r>
      <w:r w:rsidR="00593909">
        <w:rPr>
          <w:lang w:eastAsia="en-CA"/>
        </w:rPr>
        <w:t>Rogers</w:t>
      </w:r>
      <w:r w:rsidR="00596D1E" w:rsidRPr="008375C6">
        <w:rPr>
          <w:lang w:eastAsia="en-CA"/>
        </w:rPr>
        <w:t xml:space="preserve"> </w:t>
      </w:r>
      <w:r>
        <w:rPr>
          <w:lang w:eastAsia="en-CA"/>
        </w:rPr>
        <w:t>has outperformed</w:t>
      </w:r>
      <w:r w:rsidR="00596D1E">
        <w:rPr>
          <w:lang w:eastAsia="en-CA"/>
        </w:rPr>
        <w:t xml:space="preserve"> </w:t>
      </w:r>
      <w:r w:rsidR="00593909">
        <w:rPr>
          <w:lang w:eastAsia="en-CA"/>
        </w:rPr>
        <w:t>Telus</w:t>
      </w:r>
      <w:r>
        <w:rPr>
          <w:lang w:eastAsia="en-CA"/>
        </w:rPr>
        <w:t xml:space="preserve"> in the amounts of cash realized</w:t>
      </w:r>
      <w:r w:rsidR="00596D1E">
        <w:rPr>
          <w:lang w:eastAsia="en-CA"/>
        </w:rPr>
        <w:t>.</w:t>
      </w:r>
    </w:p>
    <w:p w:rsidR="00596D1E" w:rsidRDefault="00593909" w:rsidP="00593909">
      <w:pPr>
        <w:jc w:val="center"/>
        <w:rPr>
          <w:lang w:eastAsia="en-CA"/>
        </w:rPr>
      </w:pPr>
      <w:r w:rsidRPr="00593909">
        <w:rPr>
          <w:noProof/>
          <w:lang w:val="en-CA" w:eastAsia="en-CA"/>
        </w:rPr>
        <w:drawing>
          <wp:inline distT="0" distB="0" distL="0" distR="0" wp14:anchorId="39DC60EA" wp14:editId="567EB2DE">
            <wp:extent cx="4524375" cy="2981325"/>
            <wp:effectExtent l="19050" t="0" r="9525"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96D1E" w:rsidRDefault="00596D1E" w:rsidP="00593909">
      <w:pPr>
        <w:pStyle w:val="Caption"/>
        <w:ind w:left="720"/>
        <w:rPr>
          <w:color w:val="1F497D" w:themeColor="text2"/>
          <w:lang w:eastAsia="en-CA"/>
        </w:rPr>
      </w:pPr>
      <w:r w:rsidRPr="00593909">
        <w:rPr>
          <w:color w:val="1F497D" w:themeColor="text2"/>
          <w:lang w:eastAsia="en-CA"/>
        </w:rPr>
        <w:t xml:space="preserve">Figure </w:t>
      </w:r>
      <w:r w:rsidR="007478BE" w:rsidRPr="00593909">
        <w:rPr>
          <w:color w:val="1F497D" w:themeColor="text2"/>
          <w:lang w:eastAsia="en-CA"/>
        </w:rPr>
        <w:t>4</w:t>
      </w:r>
      <w:r w:rsidR="00115A82">
        <w:rPr>
          <w:color w:val="1F497D" w:themeColor="text2"/>
          <w:lang w:eastAsia="en-CA"/>
        </w:rPr>
        <w:t xml:space="preserve"> -</w:t>
      </w:r>
      <w:r w:rsidRPr="00593909">
        <w:rPr>
          <w:color w:val="1F497D" w:themeColor="text2"/>
          <w:lang w:eastAsia="en-CA"/>
        </w:rPr>
        <w:t xml:space="preserve"> </w:t>
      </w:r>
      <w:r w:rsidR="00593909" w:rsidRPr="00593909">
        <w:rPr>
          <w:color w:val="1F497D" w:themeColor="text2"/>
          <w:lang w:eastAsia="en-CA"/>
        </w:rPr>
        <w:t xml:space="preserve">Comparison of </w:t>
      </w:r>
      <w:r w:rsidRPr="00593909">
        <w:rPr>
          <w:color w:val="1F497D" w:themeColor="text2"/>
          <w:lang w:eastAsia="en-CA"/>
        </w:rPr>
        <w:t xml:space="preserve">Cash from Operations </w:t>
      </w:r>
      <w:r w:rsidR="00593909" w:rsidRPr="00593909">
        <w:rPr>
          <w:color w:val="1F497D" w:themeColor="text2"/>
          <w:lang w:eastAsia="en-CA"/>
        </w:rPr>
        <w:t>(2009-2012)</w:t>
      </w:r>
    </w:p>
    <w:p w:rsidR="00593909" w:rsidRDefault="00593909" w:rsidP="00593909">
      <w:pPr>
        <w:rPr>
          <w:lang w:eastAsia="en-CA"/>
        </w:rPr>
      </w:pPr>
    </w:p>
    <w:p w:rsidR="00230706" w:rsidRPr="00230706" w:rsidRDefault="00115A82" w:rsidP="00230706">
      <w:r>
        <w:t xml:space="preserve">As an indicator of a company's profitability and the portion of a company's profit allocated to each outstanding share of common stock, earnings per share (EPS) </w:t>
      </w:r>
      <w:r>
        <w:lastRenderedPageBreak/>
        <w:t>serves as an important point of interest for potential investors. Thus, potential investors will be greatly interested to learn that Rogers has consistently outperformed Telus with respect to EPS (Figure 5).</w:t>
      </w:r>
      <w:r w:rsidR="00230706">
        <w:t xml:space="preserve"> Additionally, from 2009 to 2012 Rogers’ EPS grew 28%, whereas that of Telus grew an impressive 22%, but still less than that of Rogers.</w:t>
      </w:r>
    </w:p>
    <w:p w:rsidR="00123E45" w:rsidRDefault="00123E45" w:rsidP="00123E45">
      <w:pPr>
        <w:jc w:val="center"/>
        <w:rPr>
          <w:color w:val="000000"/>
          <w:lang w:eastAsia="en-CA"/>
        </w:rPr>
      </w:pPr>
      <w:r w:rsidRPr="00123E45">
        <w:rPr>
          <w:noProof/>
          <w:color w:val="000000"/>
          <w:lang w:val="en-CA" w:eastAsia="en-CA"/>
        </w:rPr>
        <w:drawing>
          <wp:inline distT="0" distB="0" distL="0" distR="0" wp14:anchorId="55A0E1E3" wp14:editId="1806A93E">
            <wp:extent cx="4552950" cy="2667000"/>
            <wp:effectExtent l="19050" t="0" r="19050" b="0"/>
            <wp:docPr id="1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23E45" w:rsidRPr="00230706" w:rsidRDefault="00123E45" w:rsidP="00123E45">
      <w:pPr>
        <w:pStyle w:val="Caption"/>
        <w:ind w:left="720"/>
        <w:rPr>
          <w:color w:val="1F497D" w:themeColor="text2"/>
          <w:lang w:eastAsia="en-CA"/>
        </w:rPr>
      </w:pPr>
      <w:r w:rsidRPr="00230706">
        <w:rPr>
          <w:color w:val="1F497D" w:themeColor="text2"/>
          <w:lang w:eastAsia="en-CA"/>
        </w:rPr>
        <w:t xml:space="preserve">Figure 5 </w:t>
      </w:r>
      <w:r>
        <w:rPr>
          <w:color w:val="1F497D" w:themeColor="text2"/>
          <w:lang w:eastAsia="en-CA"/>
        </w:rPr>
        <w:t>–</w:t>
      </w:r>
      <w:r w:rsidRPr="00230706">
        <w:rPr>
          <w:color w:val="1F497D" w:themeColor="text2"/>
          <w:lang w:eastAsia="en-CA"/>
        </w:rPr>
        <w:t xml:space="preserve"> </w:t>
      </w:r>
      <w:r>
        <w:rPr>
          <w:color w:val="1F497D" w:themeColor="text2"/>
          <w:lang w:eastAsia="en-CA"/>
        </w:rPr>
        <w:t xml:space="preserve">Comparison of </w:t>
      </w:r>
      <w:r w:rsidRPr="00230706">
        <w:rPr>
          <w:color w:val="1F497D" w:themeColor="text2"/>
          <w:lang w:eastAsia="en-CA"/>
        </w:rPr>
        <w:t xml:space="preserve">Earnings per Share </w:t>
      </w:r>
      <w:r>
        <w:rPr>
          <w:color w:val="1F497D" w:themeColor="text2"/>
          <w:lang w:eastAsia="en-CA"/>
        </w:rPr>
        <w:t>(2009-2012)</w:t>
      </w:r>
      <w:r w:rsidRPr="00230706">
        <w:rPr>
          <w:color w:val="1F497D" w:themeColor="text2"/>
          <w:sz w:val="17"/>
          <w:szCs w:val="17"/>
          <w:lang w:eastAsia="en-CA"/>
        </w:rPr>
        <w:t xml:space="preserve"> </w:t>
      </w:r>
    </w:p>
    <w:p w:rsidR="00230706" w:rsidRDefault="00123E45" w:rsidP="00115A82">
      <w:pPr>
        <w:rPr>
          <w:color w:val="000000"/>
          <w:lang w:eastAsia="en-CA"/>
        </w:rPr>
      </w:pPr>
      <w:r>
        <w:rPr>
          <w:color w:val="000000"/>
          <w:lang w:eastAsia="en-CA"/>
        </w:rPr>
        <w:t xml:space="preserve">Thus, while overall </w:t>
      </w:r>
      <w:r w:rsidR="00115A82" w:rsidRPr="008375C6">
        <w:rPr>
          <w:color w:val="000000"/>
          <w:lang w:eastAsia="en-CA"/>
        </w:rPr>
        <w:t xml:space="preserve">Telus is running more profitable </w:t>
      </w:r>
      <w:r w:rsidR="00115A82" w:rsidRPr="00123E45">
        <w:t xml:space="preserve">operations, </w:t>
      </w:r>
      <w:r w:rsidR="00230706" w:rsidRPr="00123E45">
        <w:t>as indicated by their superior gross margin (Figure</w:t>
      </w:r>
      <w:r>
        <w:t xml:space="preserve"> </w:t>
      </w:r>
      <w:r w:rsidR="00230706" w:rsidRPr="00123E45">
        <w:t xml:space="preserve">2), </w:t>
      </w:r>
      <w:r w:rsidR="00115A82" w:rsidRPr="00123E45">
        <w:t>Rogers has been able to outperform Telus in terms of cash generated from operations, EPS and EPS growth</w:t>
      </w:r>
      <w:r>
        <w:t xml:space="preserve"> (Figure 3, 4, and 5)</w:t>
      </w:r>
      <w:r w:rsidR="00115A82" w:rsidRPr="00123E45">
        <w:t>.</w:t>
      </w:r>
      <w:r w:rsidRPr="00123E45">
        <w:t xml:space="preserve"> Importantly, Buybacks of Rogers’ stock have further supported dividend increases </w:t>
      </w:r>
      <w:r w:rsidRPr="00123E45">
        <w:rPr>
          <w:rStyle w:val="SubtleEmphasis"/>
        </w:rPr>
        <w:t>(Rogers, https://www.rogers.com/cms/investor_relations/pdfs/2013-AGM-Presentation.pdf)</w:t>
      </w:r>
      <w:r w:rsidRPr="00DE61EE">
        <w:t>.</w:t>
      </w:r>
    </w:p>
    <w:p w:rsidR="00596D1E" w:rsidRPr="007E0F3C" w:rsidRDefault="00596D1E" w:rsidP="00596D1E">
      <w:pPr>
        <w:pStyle w:val="Heading2"/>
        <w:rPr>
          <w:lang w:eastAsia="en-CA"/>
        </w:rPr>
      </w:pPr>
      <w:bookmarkStart w:id="16" w:name="_Toc374518262"/>
      <w:r w:rsidRPr="008375C6">
        <w:rPr>
          <w:lang w:eastAsia="en-CA"/>
        </w:rPr>
        <w:t xml:space="preserve">Investment </w:t>
      </w:r>
      <w:r>
        <w:rPr>
          <w:lang w:eastAsia="en-CA"/>
        </w:rPr>
        <w:t>Utilization</w:t>
      </w:r>
      <w:bookmarkEnd w:id="16"/>
    </w:p>
    <w:p w:rsidR="00596D1E" w:rsidRPr="00FD5014" w:rsidRDefault="00FD5014" w:rsidP="00FD5014">
      <w:r>
        <w:t xml:space="preserve">Investment utilization examines the efficiency with which a company is managing their investments. </w:t>
      </w:r>
      <w:r w:rsidR="00596D1E">
        <w:t xml:space="preserve">This </w:t>
      </w:r>
      <w:r>
        <w:t>section</w:t>
      </w:r>
      <w:r w:rsidR="00596D1E">
        <w:t xml:space="preserve"> will offer insights on how well </w:t>
      </w:r>
      <w:r>
        <w:t>Rogers and Telus</w:t>
      </w:r>
      <w:r w:rsidR="00596D1E">
        <w:t xml:space="preserve"> are generating returns from their assets, shareholders’ investment and long-term-liabilities.</w:t>
      </w:r>
      <w:r>
        <w:t xml:space="preserve"> </w:t>
      </w:r>
      <w:r w:rsidR="00596D1E">
        <w:t xml:space="preserve">This analysis will also provide information on whether or not they possess healthy management policies regarding the management of their accounts receivable, inventory and general cash cycles. These indicators substantiate the </w:t>
      </w:r>
      <w:r w:rsidR="00596D1E">
        <w:lastRenderedPageBreak/>
        <w:t>companies’ trends towards future revenue growth from their investment, as well as potential risk exposure from poor cash management.</w:t>
      </w:r>
      <w:r w:rsidR="00596D1E">
        <w:rPr>
          <w:rFonts w:ascii="Times New Roman" w:hAnsi="Times New Roman"/>
          <w:sz w:val="24"/>
        </w:rPr>
        <w:tab/>
        <w:t xml:space="preserve"> </w:t>
      </w:r>
    </w:p>
    <w:p w:rsidR="00596D1E" w:rsidRDefault="009F1C3A" w:rsidP="00FD5014">
      <w:pPr>
        <w:pStyle w:val="Heading3"/>
      </w:pPr>
      <w:bookmarkStart w:id="17" w:name="_Toc374518263"/>
      <w:r>
        <w:t>Return on I</w:t>
      </w:r>
      <w:r w:rsidR="00596D1E" w:rsidRPr="00576B54">
        <w:t>nvestment</w:t>
      </w:r>
      <w:bookmarkEnd w:id="17"/>
    </w:p>
    <w:p w:rsidR="00596D1E" w:rsidRDefault="00596D1E" w:rsidP="00DE61EE">
      <w:r>
        <w:t xml:space="preserve">This first section on investment utilization displays how well Telus and Rogers are able to generate sales revenue (or turnover) from their lump assets, invested capital, equity, fixed assets and inventory. </w:t>
      </w:r>
    </w:p>
    <w:tbl>
      <w:tblPr>
        <w:tblStyle w:val="LightList-Accent1"/>
        <w:tblW w:w="8928" w:type="dxa"/>
        <w:jc w:val="center"/>
        <w:tblLook w:val="04A0" w:firstRow="1" w:lastRow="0" w:firstColumn="1" w:lastColumn="0" w:noHBand="0" w:noVBand="1"/>
      </w:tblPr>
      <w:tblGrid>
        <w:gridCol w:w="1728"/>
        <w:gridCol w:w="2592"/>
        <w:gridCol w:w="1152"/>
        <w:gridCol w:w="1152"/>
        <w:gridCol w:w="1152"/>
        <w:gridCol w:w="1152"/>
      </w:tblGrid>
      <w:tr w:rsidR="00596D1E" w:rsidRPr="00621F09" w:rsidTr="00DE61EE">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noWrap/>
            <w:hideMark/>
          </w:tcPr>
          <w:p w:rsidR="00596D1E" w:rsidRPr="00CF185F" w:rsidRDefault="00596D1E" w:rsidP="00DE61EE">
            <w:r w:rsidRPr="00CF185F">
              <w:t>INDEX</w:t>
            </w:r>
          </w:p>
        </w:tc>
        <w:tc>
          <w:tcPr>
            <w:tcW w:w="2592" w:type="dxa"/>
            <w:noWrap/>
            <w:hideMark/>
          </w:tcPr>
          <w:p w:rsidR="00596D1E" w:rsidRPr="00CF185F" w:rsidRDefault="00596D1E" w:rsidP="00DE61EE">
            <w:pPr>
              <w:cnfStyle w:val="100000000000" w:firstRow="1" w:lastRow="0" w:firstColumn="0" w:lastColumn="0" w:oddVBand="0" w:evenVBand="0" w:oddHBand="0" w:evenHBand="0" w:firstRowFirstColumn="0" w:firstRowLastColumn="0" w:lastRowFirstColumn="0" w:lastRowLastColumn="0"/>
            </w:pPr>
            <w:r w:rsidRPr="00CF185F">
              <w:t> </w:t>
            </w:r>
          </w:p>
        </w:tc>
        <w:tc>
          <w:tcPr>
            <w:tcW w:w="1152" w:type="dxa"/>
            <w:noWrap/>
            <w:hideMark/>
          </w:tcPr>
          <w:p w:rsidR="00596D1E" w:rsidRPr="00CF185F" w:rsidRDefault="00596D1E" w:rsidP="00DE61EE">
            <w:pPr>
              <w:cnfStyle w:val="100000000000" w:firstRow="1" w:lastRow="0" w:firstColumn="0" w:lastColumn="0" w:oddVBand="0" w:evenVBand="0" w:oddHBand="0" w:evenHBand="0" w:firstRowFirstColumn="0" w:firstRowLastColumn="0" w:lastRowFirstColumn="0" w:lastRowLastColumn="0"/>
            </w:pPr>
            <w:r w:rsidRPr="00CF185F">
              <w:t>2009</w:t>
            </w:r>
          </w:p>
        </w:tc>
        <w:tc>
          <w:tcPr>
            <w:tcW w:w="1152" w:type="dxa"/>
            <w:noWrap/>
            <w:hideMark/>
          </w:tcPr>
          <w:p w:rsidR="00596D1E" w:rsidRPr="00CF185F" w:rsidRDefault="00596D1E" w:rsidP="00DE61EE">
            <w:pPr>
              <w:cnfStyle w:val="100000000000" w:firstRow="1" w:lastRow="0" w:firstColumn="0" w:lastColumn="0" w:oddVBand="0" w:evenVBand="0" w:oddHBand="0" w:evenHBand="0" w:firstRowFirstColumn="0" w:firstRowLastColumn="0" w:lastRowFirstColumn="0" w:lastRowLastColumn="0"/>
            </w:pPr>
            <w:r w:rsidRPr="00CF185F">
              <w:t>2010</w:t>
            </w:r>
          </w:p>
        </w:tc>
        <w:tc>
          <w:tcPr>
            <w:tcW w:w="1152" w:type="dxa"/>
            <w:noWrap/>
            <w:hideMark/>
          </w:tcPr>
          <w:p w:rsidR="00596D1E" w:rsidRPr="00CF185F" w:rsidRDefault="00596D1E" w:rsidP="00DE61EE">
            <w:pPr>
              <w:cnfStyle w:val="100000000000" w:firstRow="1" w:lastRow="0" w:firstColumn="0" w:lastColumn="0" w:oddVBand="0" w:evenVBand="0" w:oddHBand="0" w:evenHBand="0" w:firstRowFirstColumn="0" w:firstRowLastColumn="0" w:lastRowFirstColumn="0" w:lastRowLastColumn="0"/>
            </w:pPr>
            <w:r w:rsidRPr="00CF185F">
              <w:t>2011</w:t>
            </w:r>
          </w:p>
        </w:tc>
        <w:tc>
          <w:tcPr>
            <w:tcW w:w="1152" w:type="dxa"/>
            <w:noWrap/>
            <w:hideMark/>
          </w:tcPr>
          <w:p w:rsidR="00596D1E" w:rsidRPr="00CF185F" w:rsidRDefault="00596D1E" w:rsidP="00DE61EE">
            <w:pPr>
              <w:cnfStyle w:val="100000000000" w:firstRow="1" w:lastRow="0" w:firstColumn="0" w:lastColumn="0" w:oddVBand="0" w:evenVBand="0" w:oddHBand="0" w:evenHBand="0" w:firstRowFirstColumn="0" w:firstRowLastColumn="0" w:lastRowFirstColumn="0" w:lastRowLastColumn="0"/>
            </w:pPr>
            <w:r w:rsidRPr="00CF185F">
              <w:t>2012</w:t>
            </w:r>
          </w:p>
        </w:tc>
      </w:tr>
      <w:tr w:rsidR="00596D1E" w:rsidRPr="00621F09" w:rsidTr="00DE61E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vMerge w:val="restart"/>
            <w:hideMark/>
          </w:tcPr>
          <w:p w:rsidR="00596D1E" w:rsidRPr="00DE61EE" w:rsidRDefault="00596D1E" w:rsidP="00DE61EE">
            <w:pPr>
              <w:rPr>
                <w:sz w:val="20"/>
              </w:rPr>
            </w:pPr>
            <w:r w:rsidRPr="00DE61EE">
              <w:rPr>
                <w:sz w:val="20"/>
              </w:rPr>
              <w:t>Total Revenue</w:t>
            </w:r>
            <w:r w:rsidRPr="00DE61EE">
              <w:rPr>
                <w:sz w:val="20"/>
              </w:rPr>
              <w:br/>
              <w:t>(in Millions CAD)</w:t>
            </w:r>
          </w:p>
        </w:tc>
        <w:tc>
          <w:tcPr>
            <w:tcW w:w="2592" w:type="dxa"/>
            <w:noWrap/>
            <w:hideMark/>
          </w:tcPr>
          <w:p w:rsidR="00596D1E" w:rsidRPr="00DE61EE" w:rsidRDefault="00596D1E" w:rsidP="00DE61EE">
            <w:pPr>
              <w:cnfStyle w:val="000000100000" w:firstRow="0" w:lastRow="0" w:firstColumn="0" w:lastColumn="0" w:oddVBand="0" w:evenVBand="0" w:oddHBand="1" w:evenHBand="0" w:firstRowFirstColumn="0" w:firstRowLastColumn="0" w:lastRowFirstColumn="0" w:lastRowLastColumn="0"/>
              <w:rPr>
                <w:b/>
                <w:bCs/>
                <w:sz w:val="20"/>
              </w:rPr>
            </w:pPr>
            <w:r w:rsidRPr="00DE61EE">
              <w:rPr>
                <w:b/>
                <w:bCs/>
                <w:sz w:val="20"/>
              </w:rPr>
              <w:t>TELUS</w:t>
            </w:r>
          </w:p>
        </w:tc>
        <w:tc>
          <w:tcPr>
            <w:tcW w:w="1152" w:type="dxa"/>
            <w:noWrap/>
            <w:hideMark/>
          </w:tcPr>
          <w:p w:rsidR="00596D1E" w:rsidRPr="00DE61EE" w:rsidRDefault="00596D1E" w:rsidP="00DE61EE">
            <w:pPr>
              <w:cnfStyle w:val="000000100000" w:firstRow="0" w:lastRow="0" w:firstColumn="0" w:lastColumn="0" w:oddVBand="0" w:evenVBand="0" w:oddHBand="1" w:evenHBand="0" w:firstRowFirstColumn="0" w:firstRowLastColumn="0" w:lastRowFirstColumn="0" w:lastRowLastColumn="0"/>
              <w:rPr>
                <w:sz w:val="20"/>
              </w:rPr>
            </w:pPr>
            <w:r w:rsidRPr="00DE61EE">
              <w:rPr>
                <w:sz w:val="20"/>
              </w:rPr>
              <w:t>10,921</w:t>
            </w:r>
          </w:p>
        </w:tc>
        <w:tc>
          <w:tcPr>
            <w:tcW w:w="1152" w:type="dxa"/>
            <w:noWrap/>
            <w:hideMark/>
          </w:tcPr>
          <w:p w:rsidR="00596D1E" w:rsidRPr="00DE61EE" w:rsidRDefault="00596D1E" w:rsidP="00DE61EE">
            <w:pPr>
              <w:cnfStyle w:val="000000100000" w:firstRow="0" w:lastRow="0" w:firstColumn="0" w:lastColumn="0" w:oddVBand="0" w:evenVBand="0" w:oddHBand="1" w:evenHBand="0" w:firstRowFirstColumn="0" w:firstRowLastColumn="0" w:lastRowFirstColumn="0" w:lastRowLastColumn="0"/>
              <w:rPr>
                <w:sz w:val="20"/>
              </w:rPr>
            </w:pPr>
            <w:r w:rsidRPr="00DE61EE">
              <w:rPr>
                <w:sz w:val="20"/>
              </w:rPr>
              <w:t>10,397</w:t>
            </w:r>
          </w:p>
        </w:tc>
        <w:tc>
          <w:tcPr>
            <w:tcW w:w="1152" w:type="dxa"/>
            <w:noWrap/>
            <w:hideMark/>
          </w:tcPr>
          <w:p w:rsidR="00596D1E" w:rsidRPr="00DE61EE" w:rsidRDefault="00596D1E" w:rsidP="00DE61EE">
            <w:pPr>
              <w:cnfStyle w:val="000000100000" w:firstRow="0" w:lastRow="0" w:firstColumn="0" w:lastColumn="0" w:oddVBand="0" w:evenVBand="0" w:oddHBand="1" w:evenHBand="0" w:firstRowFirstColumn="0" w:firstRowLastColumn="0" w:lastRowFirstColumn="0" w:lastRowLastColumn="0"/>
              <w:rPr>
                <w:sz w:val="20"/>
              </w:rPr>
            </w:pPr>
            <w:r w:rsidRPr="00DE61EE">
              <w:rPr>
                <w:sz w:val="20"/>
              </w:rPr>
              <w:t>9,792</w:t>
            </w:r>
          </w:p>
        </w:tc>
        <w:tc>
          <w:tcPr>
            <w:tcW w:w="1152" w:type="dxa"/>
            <w:noWrap/>
            <w:hideMark/>
          </w:tcPr>
          <w:p w:rsidR="00596D1E" w:rsidRPr="00DE61EE" w:rsidRDefault="00596D1E" w:rsidP="00DE61EE">
            <w:pPr>
              <w:cnfStyle w:val="000000100000" w:firstRow="0" w:lastRow="0" w:firstColumn="0" w:lastColumn="0" w:oddVBand="0" w:evenVBand="0" w:oddHBand="1" w:evenHBand="0" w:firstRowFirstColumn="0" w:firstRowLastColumn="0" w:lastRowFirstColumn="0" w:lastRowLastColumn="0"/>
              <w:rPr>
                <w:sz w:val="20"/>
              </w:rPr>
            </w:pPr>
            <w:r w:rsidRPr="00DE61EE">
              <w:rPr>
                <w:sz w:val="20"/>
              </w:rPr>
              <w:t>9,606</w:t>
            </w:r>
          </w:p>
        </w:tc>
      </w:tr>
      <w:tr w:rsidR="00596D1E" w:rsidRPr="00621F09" w:rsidTr="00DE61EE">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vMerge/>
            <w:hideMark/>
          </w:tcPr>
          <w:p w:rsidR="00596D1E" w:rsidRPr="00DE61EE" w:rsidRDefault="00596D1E" w:rsidP="00DE61EE">
            <w:pPr>
              <w:rPr>
                <w:sz w:val="20"/>
              </w:rPr>
            </w:pPr>
          </w:p>
        </w:tc>
        <w:tc>
          <w:tcPr>
            <w:tcW w:w="2592" w:type="dxa"/>
            <w:noWrap/>
            <w:hideMark/>
          </w:tcPr>
          <w:p w:rsidR="00596D1E" w:rsidRPr="00DE61EE" w:rsidRDefault="00596D1E" w:rsidP="00DE61EE">
            <w:pPr>
              <w:cnfStyle w:val="000000000000" w:firstRow="0" w:lastRow="0" w:firstColumn="0" w:lastColumn="0" w:oddVBand="0" w:evenVBand="0" w:oddHBand="0" w:evenHBand="0" w:firstRowFirstColumn="0" w:firstRowLastColumn="0" w:lastRowFirstColumn="0" w:lastRowLastColumn="0"/>
              <w:rPr>
                <w:b/>
                <w:bCs/>
                <w:sz w:val="20"/>
              </w:rPr>
            </w:pPr>
            <w:r w:rsidRPr="00DE61EE">
              <w:rPr>
                <w:b/>
                <w:bCs/>
                <w:sz w:val="20"/>
              </w:rPr>
              <w:t>ROGERS</w:t>
            </w:r>
          </w:p>
        </w:tc>
        <w:tc>
          <w:tcPr>
            <w:tcW w:w="1152" w:type="dxa"/>
            <w:noWrap/>
            <w:hideMark/>
          </w:tcPr>
          <w:p w:rsidR="00596D1E" w:rsidRPr="00DE61EE" w:rsidRDefault="00596D1E" w:rsidP="00DE61EE">
            <w:pPr>
              <w:cnfStyle w:val="000000000000" w:firstRow="0" w:lastRow="0" w:firstColumn="0" w:lastColumn="0" w:oddVBand="0" w:evenVBand="0" w:oddHBand="0" w:evenHBand="0" w:firstRowFirstColumn="0" w:firstRowLastColumn="0" w:lastRowFirstColumn="0" w:lastRowLastColumn="0"/>
              <w:rPr>
                <w:sz w:val="20"/>
              </w:rPr>
            </w:pPr>
            <w:r w:rsidRPr="00DE61EE">
              <w:rPr>
                <w:sz w:val="20"/>
              </w:rPr>
              <w:t>12,486</w:t>
            </w:r>
          </w:p>
        </w:tc>
        <w:tc>
          <w:tcPr>
            <w:tcW w:w="1152" w:type="dxa"/>
            <w:noWrap/>
            <w:hideMark/>
          </w:tcPr>
          <w:p w:rsidR="00596D1E" w:rsidRPr="00DE61EE" w:rsidRDefault="00596D1E" w:rsidP="00DE61EE">
            <w:pPr>
              <w:cnfStyle w:val="000000000000" w:firstRow="0" w:lastRow="0" w:firstColumn="0" w:lastColumn="0" w:oddVBand="0" w:evenVBand="0" w:oddHBand="0" w:evenHBand="0" w:firstRowFirstColumn="0" w:firstRowLastColumn="0" w:lastRowFirstColumn="0" w:lastRowLastColumn="0"/>
              <w:rPr>
                <w:sz w:val="20"/>
              </w:rPr>
            </w:pPr>
            <w:r w:rsidRPr="00DE61EE">
              <w:rPr>
                <w:sz w:val="20"/>
              </w:rPr>
              <w:t>12,346</w:t>
            </w:r>
          </w:p>
        </w:tc>
        <w:tc>
          <w:tcPr>
            <w:tcW w:w="1152" w:type="dxa"/>
            <w:noWrap/>
            <w:hideMark/>
          </w:tcPr>
          <w:p w:rsidR="00596D1E" w:rsidRPr="00DE61EE" w:rsidRDefault="00596D1E" w:rsidP="00DE61EE">
            <w:pPr>
              <w:cnfStyle w:val="000000000000" w:firstRow="0" w:lastRow="0" w:firstColumn="0" w:lastColumn="0" w:oddVBand="0" w:evenVBand="0" w:oddHBand="0" w:evenHBand="0" w:firstRowFirstColumn="0" w:firstRowLastColumn="0" w:lastRowFirstColumn="0" w:lastRowLastColumn="0"/>
              <w:rPr>
                <w:sz w:val="20"/>
              </w:rPr>
            </w:pPr>
            <w:r w:rsidRPr="00DE61EE">
              <w:rPr>
                <w:sz w:val="20"/>
              </w:rPr>
              <w:t>12,142</w:t>
            </w:r>
          </w:p>
        </w:tc>
        <w:tc>
          <w:tcPr>
            <w:tcW w:w="1152" w:type="dxa"/>
            <w:noWrap/>
            <w:hideMark/>
          </w:tcPr>
          <w:p w:rsidR="00596D1E" w:rsidRPr="00DE61EE" w:rsidRDefault="00596D1E" w:rsidP="00DE61EE">
            <w:pPr>
              <w:cnfStyle w:val="000000000000" w:firstRow="0" w:lastRow="0" w:firstColumn="0" w:lastColumn="0" w:oddVBand="0" w:evenVBand="0" w:oddHBand="0" w:evenHBand="0" w:firstRowFirstColumn="0" w:firstRowLastColumn="0" w:lastRowFirstColumn="0" w:lastRowLastColumn="0"/>
              <w:rPr>
                <w:sz w:val="20"/>
              </w:rPr>
            </w:pPr>
            <w:r w:rsidRPr="00DE61EE">
              <w:rPr>
                <w:sz w:val="20"/>
              </w:rPr>
              <w:t>11,731</w:t>
            </w:r>
          </w:p>
        </w:tc>
      </w:tr>
      <w:tr w:rsidR="00596D1E" w:rsidRPr="00621F09" w:rsidTr="00DE61E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vMerge/>
            <w:hideMark/>
          </w:tcPr>
          <w:p w:rsidR="00596D1E" w:rsidRPr="00DE61EE" w:rsidRDefault="00596D1E" w:rsidP="00DE61EE">
            <w:pPr>
              <w:rPr>
                <w:sz w:val="20"/>
              </w:rPr>
            </w:pPr>
          </w:p>
        </w:tc>
        <w:tc>
          <w:tcPr>
            <w:tcW w:w="2592" w:type="dxa"/>
            <w:hideMark/>
          </w:tcPr>
          <w:p w:rsidR="00596D1E" w:rsidRPr="00DE61EE" w:rsidRDefault="00596D1E" w:rsidP="00DE61EE">
            <w:pPr>
              <w:cnfStyle w:val="000000100000" w:firstRow="0" w:lastRow="0" w:firstColumn="0" w:lastColumn="0" w:oddVBand="0" w:evenVBand="0" w:oddHBand="1" w:evenHBand="0" w:firstRowFirstColumn="0" w:firstRowLastColumn="0" w:lastRowFirstColumn="0" w:lastRowLastColumn="0"/>
              <w:rPr>
                <w:b/>
                <w:bCs/>
                <w:sz w:val="20"/>
              </w:rPr>
            </w:pPr>
            <w:r w:rsidRPr="00DE61EE">
              <w:rPr>
                <w:b/>
                <w:bCs/>
                <w:sz w:val="20"/>
              </w:rPr>
              <w:t>% OF ROGERS OVER TELUS</w:t>
            </w:r>
          </w:p>
        </w:tc>
        <w:tc>
          <w:tcPr>
            <w:tcW w:w="1152" w:type="dxa"/>
            <w:noWrap/>
            <w:hideMark/>
          </w:tcPr>
          <w:p w:rsidR="00596D1E" w:rsidRPr="00DE61EE" w:rsidRDefault="00596D1E" w:rsidP="00DE61EE">
            <w:pPr>
              <w:cnfStyle w:val="000000100000" w:firstRow="0" w:lastRow="0" w:firstColumn="0" w:lastColumn="0" w:oddVBand="0" w:evenVBand="0" w:oddHBand="1" w:evenHBand="0" w:firstRowFirstColumn="0" w:firstRowLastColumn="0" w:lastRowFirstColumn="0" w:lastRowLastColumn="0"/>
              <w:rPr>
                <w:sz w:val="20"/>
              </w:rPr>
            </w:pPr>
            <w:r w:rsidRPr="00DE61EE">
              <w:rPr>
                <w:sz w:val="20"/>
              </w:rPr>
              <w:t>14%</w:t>
            </w:r>
          </w:p>
        </w:tc>
        <w:tc>
          <w:tcPr>
            <w:tcW w:w="1152" w:type="dxa"/>
            <w:noWrap/>
            <w:hideMark/>
          </w:tcPr>
          <w:p w:rsidR="00596D1E" w:rsidRPr="00DE61EE" w:rsidRDefault="00596D1E" w:rsidP="00DE61EE">
            <w:pPr>
              <w:cnfStyle w:val="000000100000" w:firstRow="0" w:lastRow="0" w:firstColumn="0" w:lastColumn="0" w:oddVBand="0" w:evenVBand="0" w:oddHBand="1" w:evenHBand="0" w:firstRowFirstColumn="0" w:firstRowLastColumn="0" w:lastRowFirstColumn="0" w:lastRowLastColumn="0"/>
              <w:rPr>
                <w:sz w:val="20"/>
              </w:rPr>
            </w:pPr>
            <w:r w:rsidRPr="00DE61EE">
              <w:rPr>
                <w:sz w:val="20"/>
              </w:rPr>
              <w:t>19%</w:t>
            </w:r>
          </w:p>
        </w:tc>
        <w:tc>
          <w:tcPr>
            <w:tcW w:w="1152" w:type="dxa"/>
            <w:noWrap/>
            <w:hideMark/>
          </w:tcPr>
          <w:p w:rsidR="00596D1E" w:rsidRPr="00DE61EE" w:rsidRDefault="00596D1E" w:rsidP="00DE61EE">
            <w:pPr>
              <w:cnfStyle w:val="000000100000" w:firstRow="0" w:lastRow="0" w:firstColumn="0" w:lastColumn="0" w:oddVBand="0" w:evenVBand="0" w:oddHBand="1" w:evenHBand="0" w:firstRowFirstColumn="0" w:firstRowLastColumn="0" w:lastRowFirstColumn="0" w:lastRowLastColumn="0"/>
              <w:rPr>
                <w:sz w:val="20"/>
              </w:rPr>
            </w:pPr>
            <w:r w:rsidRPr="00DE61EE">
              <w:rPr>
                <w:sz w:val="20"/>
              </w:rPr>
              <w:t>24%</w:t>
            </w:r>
          </w:p>
        </w:tc>
        <w:tc>
          <w:tcPr>
            <w:tcW w:w="1152" w:type="dxa"/>
            <w:noWrap/>
            <w:hideMark/>
          </w:tcPr>
          <w:p w:rsidR="00596D1E" w:rsidRPr="00DE61EE" w:rsidRDefault="00596D1E" w:rsidP="00DE61EE">
            <w:pPr>
              <w:cnfStyle w:val="000000100000" w:firstRow="0" w:lastRow="0" w:firstColumn="0" w:lastColumn="0" w:oddVBand="0" w:evenVBand="0" w:oddHBand="1" w:evenHBand="0" w:firstRowFirstColumn="0" w:firstRowLastColumn="0" w:lastRowFirstColumn="0" w:lastRowLastColumn="0"/>
              <w:rPr>
                <w:sz w:val="20"/>
              </w:rPr>
            </w:pPr>
            <w:r w:rsidRPr="00DE61EE">
              <w:rPr>
                <w:sz w:val="20"/>
              </w:rPr>
              <w:t>22%</w:t>
            </w:r>
          </w:p>
        </w:tc>
      </w:tr>
      <w:tr w:rsidR="00596D1E" w:rsidRPr="00621F09" w:rsidTr="00DE61EE">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vMerge w:val="restart"/>
            <w:hideMark/>
          </w:tcPr>
          <w:p w:rsidR="00596D1E" w:rsidRPr="00DE61EE" w:rsidRDefault="00596D1E" w:rsidP="00DE61EE">
            <w:pPr>
              <w:rPr>
                <w:sz w:val="20"/>
              </w:rPr>
            </w:pPr>
            <w:r w:rsidRPr="00DE61EE">
              <w:rPr>
                <w:sz w:val="20"/>
              </w:rPr>
              <w:t>Total Asset</w:t>
            </w:r>
            <w:r w:rsidRPr="00DE61EE">
              <w:rPr>
                <w:sz w:val="20"/>
              </w:rPr>
              <w:br/>
              <w:t>(in Millions CAD)</w:t>
            </w:r>
          </w:p>
        </w:tc>
        <w:tc>
          <w:tcPr>
            <w:tcW w:w="2592" w:type="dxa"/>
            <w:noWrap/>
            <w:hideMark/>
          </w:tcPr>
          <w:p w:rsidR="00596D1E" w:rsidRPr="00DE61EE" w:rsidRDefault="00596D1E" w:rsidP="00DE61EE">
            <w:pPr>
              <w:cnfStyle w:val="000000000000" w:firstRow="0" w:lastRow="0" w:firstColumn="0" w:lastColumn="0" w:oddVBand="0" w:evenVBand="0" w:oddHBand="0" w:evenHBand="0" w:firstRowFirstColumn="0" w:firstRowLastColumn="0" w:lastRowFirstColumn="0" w:lastRowLastColumn="0"/>
              <w:rPr>
                <w:b/>
                <w:bCs/>
                <w:sz w:val="20"/>
              </w:rPr>
            </w:pPr>
            <w:r w:rsidRPr="00DE61EE">
              <w:rPr>
                <w:b/>
                <w:bCs/>
                <w:sz w:val="20"/>
              </w:rPr>
              <w:t>TELUS</w:t>
            </w:r>
          </w:p>
        </w:tc>
        <w:tc>
          <w:tcPr>
            <w:tcW w:w="1152" w:type="dxa"/>
            <w:noWrap/>
            <w:hideMark/>
          </w:tcPr>
          <w:p w:rsidR="00596D1E" w:rsidRPr="00DE61EE" w:rsidRDefault="00596D1E" w:rsidP="00DE61EE">
            <w:pPr>
              <w:cnfStyle w:val="000000000000" w:firstRow="0" w:lastRow="0" w:firstColumn="0" w:lastColumn="0" w:oddVBand="0" w:evenVBand="0" w:oddHBand="0" w:evenHBand="0" w:firstRowFirstColumn="0" w:firstRowLastColumn="0" w:lastRowFirstColumn="0" w:lastRowLastColumn="0"/>
              <w:rPr>
                <w:sz w:val="20"/>
              </w:rPr>
            </w:pPr>
            <w:r w:rsidRPr="00DE61EE">
              <w:rPr>
                <w:sz w:val="20"/>
              </w:rPr>
              <w:t>20,445</w:t>
            </w:r>
          </w:p>
        </w:tc>
        <w:tc>
          <w:tcPr>
            <w:tcW w:w="1152" w:type="dxa"/>
            <w:noWrap/>
            <w:hideMark/>
          </w:tcPr>
          <w:p w:rsidR="00596D1E" w:rsidRPr="00DE61EE" w:rsidRDefault="00596D1E" w:rsidP="00DE61EE">
            <w:pPr>
              <w:cnfStyle w:val="000000000000" w:firstRow="0" w:lastRow="0" w:firstColumn="0" w:lastColumn="0" w:oddVBand="0" w:evenVBand="0" w:oddHBand="0" w:evenHBand="0" w:firstRowFirstColumn="0" w:firstRowLastColumn="0" w:lastRowFirstColumn="0" w:lastRowLastColumn="0"/>
              <w:rPr>
                <w:sz w:val="20"/>
              </w:rPr>
            </w:pPr>
            <w:r w:rsidRPr="00DE61EE">
              <w:rPr>
                <w:sz w:val="20"/>
              </w:rPr>
              <w:t>19,931</w:t>
            </w:r>
          </w:p>
        </w:tc>
        <w:tc>
          <w:tcPr>
            <w:tcW w:w="1152" w:type="dxa"/>
            <w:noWrap/>
            <w:hideMark/>
          </w:tcPr>
          <w:p w:rsidR="00596D1E" w:rsidRPr="00DE61EE" w:rsidRDefault="00596D1E" w:rsidP="00DE61EE">
            <w:pPr>
              <w:cnfStyle w:val="000000000000" w:firstRow="0" w:lastRow="0" w:firstColumn="0" w:lastColumn="0" w:oddVBand="0" w:evenVBand="0" w:oddHBand="0" w:evenHBand="0" w:firstRowFirstColumn="0" w:firstRowLastColumn="0" w:lastRowFirstColumn="0" w:lastRowLastColumn="0"/>
              <w:rPr>
                <w:sz w:val="20"/>
              </w:rPr>
            </w:pPr>
            <w:r w:rsidRPr="00DE61EE">
              <w:rPr>
                <w:sz w:val="20"/>
              </w:rPr>
              <w:t>19,624</w:t>
            </w:r>
          </w:p>
        </w:tc>
        <w:tc>
          <w:tcPr>
            <w:tcW w:w="1152" w:type="dxa"/>
            <w:noWrap/>
            <w:hideMark/>
          </w:tcPr>
          <w:p w:rsidR="00596D1E" w:rsidRPr="00DE61EE" w:rsidRDefault="00596D1E" w:rsidP="00DE61EE">
            <w:pPr>
              <w:cnfStyle w:val="000000000000" w:firstRow="0" w:lastRow="0" w:firstColumn="0" w:lastColumn="0" w:oddVBand="0" w:evenVBand="0" w:oddHBand="0" w:evenHBand="0" w:firstRowFirstColumn="0" w:firstRowLastColumn="0" w:lastRowFirstColumn="0" w:lastRowLastColumn="0"/>
              <w:rPr>
                <w:sz w:val="20"/>
              </w:rPr>
            </w:pPr>
            <w:r w:rsidRPr="00DE61EE">
              <w:rPr>
                <w:sz w:val="20"/>
              </w:rPr>
              <w:t>19,219</w:t>
            </w:r>
          </w:p>
        </w:tc>
      </w:tr>
      <w:tr w:rsidR="00596D1E" w:rsidRPr="00621F09" w:rsidTr="00DE61E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vMerge/>
            <w:hideMark/>
          </w:tcPr>
          <w:p w:rsidR="00596D1E" w:rsidRPr="00DE61EE" w:rsidRDefault="00596D1E" w:rsidP="00DE61EE">
            <w:pPr>
              <w:rPr>
                <w:sz w:val="20"/>
              </w:rPr>
            </w:pPr>
          </w:p>
        </w:tc>
        <w:tc>
          <w:tcPr>
            <w:tcW w:w="2592" w:type="dxa"/>
            <w:noWrap/>
            <w:hideMark/>
          </w:tcPr>
          <w:p w:rsidR="00596D1E" w:rsidRPr="00DE61EE" w:rsidRDefault="00596D1E" w:rsidP="00DE61EE">
            <w:pPr>
              <w:cnfStyle w:val="000000100000" w:firstRow="0" w:lastRow="0" w:firstColumn="0" w:lastColumn="0" w:oddVBand="0" w:evenVBand="0" w:oddHBand="1" w:evenHBand="0" w:firstRowFirstColumn="0" w:firstRowLastColumn="0" w:lastRowFirstColumn="0" w:lastRowLastColumn="0"/>
              <w:rPr>
                <w:b/>
                <w:bCs/>
                <w:sz w:val="20"/>
              </w:rPr>
            </w:pPr>
            <w:r w:rsidRPr="00DE61EE">
              <w:rPr>
                <w:b/>
                <w:bCs/>
                <w:sz w:val="20"/>
              </w:rPr>
              <w:t>ROGERS</w:t>
            </w:r>
          </w:p>
        </w:tc>
        <w:tc>
          <w:tcPr>
            <w:tcW w:w="1152" w:type="dxa"/>
            <w:noWrap/>
            <w:hideMark/>
          </w:tcPr>
          <w:p w:rsidR="00596D1E" w:rsidRPr="00DE61EE" w:rsidRDefault="00596D1E" w:rsidP="00DE61EE">
            <w:pPr>
              <w:cnfStyle w:val="000000100000" w:firstRow="0" w:lastRow="0" w:firstColumn="0" w:lastColumn="0" w:oddVBand="0" w:evenVBand="0" w:oddHBand="1" w:evenHBand="0" w:firstRowFirstColumn="0" w:firstRowLastColumn="0" w:lastRowFirstColumn="0" w:lastRowLastColumn="0"/>
              <w:rPr>
                <w:sz w:val="20"/>
              </w:rPr>
            </w:pPr>
            <w:r w:rsidRPr="00DE61EE">
              <w:rPr>
                <w:sz w:val="20"/>
              </w:rPr>
              <w:t>19,618</w:t>
            </w:r>
          </w:p>
        </w:tc>
        <w:tc>
          <w:tcPr>
            <w:tcW w:w="1152" w:type="dxa"/>
            <w:noWrap/>
            <w:hideMark/>
          </w:tcPr>
          <w:p w:rsidR="00596D1E" w:rsidRPr="00DE61EE" w:rsidRDefault="00596D1E" w:rsidP="00DE61EE">
            <w:pPr>
              <w:cnfStyle w:val="000000100000" w:firstRow="0" w:lastRow="0" w:firstColumn="0" w:lastColumn="0" w:oddVBand="0" w:evenVBand="0" w:oddHBand="1" w:evenHBand="0" w:firstRowFirstColumn="0" w:firstRowLastColumn="0" w:lastRowFirstColumn="0" w:lastRowLastColumn="0"/>
              <w:rPr>
                <w:sz w:val="20"/>
              </w:rPr>
            </w:pPr>
            <w:r w:rsidRPr="00DE61EE">
              <w:rPr>
                <w:sz w:val="20"/>
              </w:rPr>
              <w:t>18,362</w:t>
            </w:r>
          </w:p>
        </w:tc>
        <w:tc>
          <w:tcPr>
            <w:tcW w:w="1152" w:type="dxa"/>
            <w:noWrap/>
            <w:hideMark/>
          </w:tcPr>
          <w:p w:rsidR="00596D1E" w:rsidRPr="00DE61EE" w:rsidRDefault="00596D1E" w:rsidP="00DE61EE">
            <w:pPr>
              <w:cnfStyle w:val="000000100000" w:firstRow="0" w:lastRow="0" w:firstColumn="0" w:lastColumn="0" w:oddVBand="0" w:evenVBand="0" w:oddHBand="1" w:evenHBand="0" w:firstRowFirstColumn="0" w:firstRowLastColumn="0" w:lastRowFirstColumn="0" w:lastRowLastColumn="0"/>
              <w:rPr>
                <w:sz w:val="20"/>
              </w:rPr>
            </w:pPr>
            <w:r w:rsidRPr="00DE61EE">
              <w:rPr>
                <w:sz w:val="20"/>
              </w:rPr>
              <w:t>17,033</w:t>
            </w:r>
          </w:p>
        </w:tc>
        <w:tc>
          <w:tcPr>
            <w:tcW w:w="1152" w:type="dxa"/>
            <w:noWrap/>
            <w:hideMark/>
          </w:tcPr>
          <w:p w:rsidR="00596D1E" w:rsidRPr="00DE61EE" w:rsidRDefault="00596D1E" w:rsidP="00DE61EE">
            <w:pPr>
              <w:cnfStyle w:val="000000100000" w:firstRow="0" w:lastRow="0" w:firstColumn="0" w:lastColumn="0" w:oddVBand="0" w:evenVBand="0" w:oddHBand="1" w:evenHBand="0" w:firstRowFirstColumn="0" w:firstRowLastColumn="0" w:lastRowFirstColumn="0" w:lastRowLastColumn="0"/>
              <w:rPr>
                <w:sz w:val="20"/>
              </w:rPr>
            </w:pPr>
            <w:r w:rsidRPr="00DE61EE">
              <w:rPr>
                <w:sz w:val="20"/>
              </w:rPr>
              <w:t>17,018</w:t>
            </w:r>
          </w:p>
        </w:tc>
      </w:tr>
      <w:tr w:rsidR="00596D1E" w:rsidRPr="00621F09" w:rsidTr="00DE61EE">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vMerge/>
            <w:hideMark/>
          </w:tcPr>
          <w:p w:rsidR="00596D1E" w:rsidRPr="00DE61EE" w:rsidRDefault="00596D1E" w:rsidP="00DE61EE">
            <w:pPr>
              <w:rPr>
                <w:sz w:val="20"/>
              </w:rPr>
            </w:pPr>
          </w:p>
        </w:tc>
        <w:tc>
          <w:tcPr>
            <w:tcW w:w="2592" w:type="dxa"/>
            <w:hideMark/>
          </w:tcPr>
          <w:p w:rsidR="00596D1E" w:rsidRPr="00DE61EE" w:rsidRDefault="00596D1E" w:rsidP="00DE61EE">
            <w:pPr>
              <w:cnfStyle w:val="000000000000" w:firstRow="0" w:lastRow="0" w:firstColumn="0" w:lastColumn="0" w:oddVBand="0" w:evenVBand="0" w:oddHBand="0" w:evenHBand="0" w:firstRowFirstColumn="0" w:firstRowLastColumn="0" w:lastRowFirstColumn="0" w:lastRowLastColumn="0"/>
              <w:rPr>
                <w:b/>
                <w:bCs/>
                <w:sz w:val="20"/>
              </w:rPr>
            </w:pPr>
            <w:r w:rsidRPr="00DE61EE">
              <w:rPr>
                <w:b/>
                <w:bCs/>
                <w:sz w:val="20"/>
              </w:rPr>
              <w:t>% OF ROGERS UNDER TELUS</w:t>
            </w:r>
          </w:p>
        </w:tc>
        <w:tc>
          <w:tcPr>
            <w:tcW w:w="1152" w:type="dxa"/>
            <w:noWrap/>
            <w:hideMark/>
          </w:tcPr>
          <w:p w:rsidR="00596D1E" w:rsidRPr="00DE61EE" w:rsidRDefault="00596D1E" w:rsidP="00DE61EE">
            <w:pPr>
              <w:cnfStyle w:val="000000000000" w:firstRow="0" w:lastRow="0" w:firstColumn="0" w:lastColumn="0" w:oddVBand="0" w:evenVBand="0" w:oddHBand="0" w:evenHBand="0" w:firstRowFirstColumn="0" w:firstRowLastColumn="0" w:lastRowFirstColumn="0" w:lastRowLastColumn="0"/>
              <w:rPr>
                <w:sz w:val="20"/>
              </w:rPr>
            </w:pPr>
            <w:r w:rsidRPr="00DE61EE">
              <w:rPr>
                <w:sz w:val="20"/>
              </w:rPr>
              <w:t>4%</w:t>
            </w:r>
          </w:p>
        </w:tc>
        <w:tc>
          <w:tcPr>
            <w:tcW w:w="1152" w:type="dxa"/>
            <w:noWrap/>
            <w:hideMark/>
          </w:tcPr>
          <w:p w:rsidR="00596D1E" w:rsidRPr="00DE61EE" w:rsidRDefault="00596D1E" w:rsidP="00DE61EE">
            <w:pPr>
              <w:cnfStyle w:val="000000000000" w:firstRow="0" w:lastRow="0" w:firstColumn="0" w:lastColumn="0" w:oddVBand="0" w:evenVBand="0" w:oddHBand="0" w:evenHBand="0" w:firstRowFirstColumn="0" w:firstRowLastColumn="0" w:lastRowFirstColumn="0" w:lastRowLastColumn="0"/>
              <w:rPr>
                <w:sz w:val="20"/>
              </w:rPr>
            </w:pPr>
            <w:r w:rsidRPr="00DE61EE">
              <w:rPr>
                <w:sz w:val="20"/>
              </w:rPr>
              <w:t>8%</w:t>
            </w:r>
          </w:p>
        </w:tc>
        <w:tc>
          <w:tcPr>
            <w:tcW w:w="1152" w:type="dxa"/>
            <w:noWrap/>
            <w:hideMark/>
          </w:tcPr>
          <w:p w:rsidR="00596D1E" w:rsidRPr="00DE61EE" w:rsidRDefault="00596D1E" w:rsidP="00DE61EE">
            <w:pPr>
              <w:cnfStyle w:val="000000000000" w:firstRow="0" w:lastRow="0" w:firstColumn="0" w:lastColumn="0" w:oddVBand="0" w:evenVBand="0" w:oddHBand="0" w:evenHBand="0" w:firstRowFirstColumn="0" w:firstRowLastColumn="0" w:lastRowFirstColumn="0" w:lastRowLastColumn="0"/>
              <w:rPr>
                <w:sz w:val="20"/>
              </w:rPr>
            </w:pPr>
            <w:r w:rsidRPr="00DE61EE">
              <w:rPr>
                <w:sz w:val="20"/>
              </w:rPr>
              <w:t>13%</w:t>
            </w:r>
          </w:p>
        </w:tc>
        <w:tc>
          <w:tcPr>
            <w:tcW w:w="1152" w:type="dxa"/>
            <w:noWrap/>
            <w:hideMark/>
          </w:tcPr>
          <w:p w:rsidR="00596D1E" w:rsidRPr="00DE61EE" w:rsidRDefault="00596D1E" w:rsidP="00DE61EE">
            <w:pPr>
              <w:cnfStyle w:val="000000000000" w:firstRow="0" w:lastRow="0" w:firstColumn="0" w:lastColumn="0" w:oddVBand="0" w:evenVBand="0" w:oddHBand="0" w:evenHBand="0" w:firstRowFirstColumn="0" w:firstRowLastColumn="0" w:lastRowFirstColumn="0" w:lastRowLastColumn="0"/>
              <w:rPr>
                <w:sz w:val="20"/>
              </w:rPr>
            </w:pPr>
            <w:r w:rsidRPr="00DE61EE">
              <w:rPr>
                <w:sz w:val="20"/>
              </w:rPr>
              <w:t>11%</w:t>
            </w:r>
          </w:p>
        </w:tc>
      </w:tr>
      <w:tr w:rsidR="00596D1E" w:rsidRPr="00621F09" w:rsidTr="00DE61E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vMerge w:val="restart"/>
            <w:hideMark/>
          </w:tcPr>
          <w:p w:rsidR="00596D1E" w:rsidRPr="00DE61EE" w:rsidRDefault="00596D1E" w:rsidP="00DE61EE">
            <w:pPr>
              <w:rPr>
                <w:sz w:val="20"/>
              </w:rPr>
            </w:pPr>
            <w:r w:rsidRPr="00DE61EE">
              <w:rPr>
                <w:sz w:val="20"/>
              </w:rPr>
              <w:t>Asset Turnover</w:t>
            </w:r>
            <w:r w:rsidRPr="00DE61EE">
              <w:rPr>
                <w:sz w:val="20"/>
              </w:rPr>
              <w:br/>
              <w:t>(Times)</w:t>
            </w:r>
          </w:p>
        </w:tc>
        <w:tc>
          <w:tcPr>
            <w:tcW w:w="2592" w:type="dxa"/>
            <w:noWrap/>
            <w:hideMark/>
          </w:tcPr>
          <w:p w:rsidR="00596D1E" w:rsidRPr="00DE61EE" w:rsidRDefault="00596D1E" w:rsidP="00DE61EE">
            <w:pPr>
              <w:cnfStyle w:val="000000100000" w:firstRow="0" w:lastRow="0" w:firstColumn="0" w:lastColumn="0" w:oddVBand="0" w:evenVBand="0" w:oddHBand="1" w:evenHBand="0" w:firstRowFirstColumn="0" w:firstRowLastColumn="0" w:lastRowFirstColumn="0" w:lastRowLastColumn="0"/>
              <w:rPr>
                <w:b/>
                <w:bCs/>
                <w:sz w:val="20"/>
              </w:rPr>
            </w:pPr>
            <w:r w:rsidRPr="00DE61EE">
              <w:rPr>
                <w:b/>
                <w:bCs/>
                <w:sz w:val="20"/>
              </w:rPr>
              <w:t>TELUS</w:t>
            </w:r>
          </w:p>
        </w:tc>
        <w:tc>
          <w:tcPr>
            <w:tcW w:w="1152" w:type="dxa"/>
            <w:noWrap/>
            <w:hideMark/>
          </w:tcPr>
          <w:p w:rsidR="00596D1E" w:rsidRPr="00DE61EE" w:rsidRDefault="00596D1E" w:rsidP="00DE61EE">
            <w:pPr>
              <w:cnfStyle w:val="000000100000" w:firstRow="0" w:lastRow="0" w:firstColumn="0" w:lastColumn="0" w:oddVBand="0" w:evenVBand="0" w:oddHBand="1" w:evenHBand="0" w:firstRowFirstColumn="0" w:firstRowLastColumn="0" w:lastRowFirstColumn="0" w:lastRowLastColumn="0"/>
              <w:rPr>
                <w:sz w:val="20"/>
              </w:rPr>
            </w:pPr>
            <w:r w:rsidRPr="00DE61EE">
              <w:rPr>
                <w:sz w:val="20"/>
              </w:rPr>
              <w:t>0.500</w:t>
            </w:r>
          </w:p>
        </w:tc>
        <w:tc>
          <w:tcPr>
            <w:tcW w:w="1152" w:type="dxa"/>
            <w:noWrap/>
            <w:hideMark/>
          </w:tcPr>
          <w:p w:rsidR="00596D1E" w:rsidRPr="00DE61EE" w:rsidRDefault="00596D1E" w:rsidP="00DE61EE">
            <w:pPr>
              <w:cnfStyle w:val="000000100000" w:firstRow="0" w:lastRow="0" w:firstColumn="0" w:lastColumn="0" w:oddVBand="0" w:evenVBand="0" w:oddHBand="1" w:evenHBand="0" w:firstRowFirstColumn="0" w:firstRowLastColumn="0" w:lastRowFirstColumn="0" w:lastRowLastColumn="0"/>
              <w:rPr>
                <w:sz w:val="20"/>
              </w:rPr>
            </w:pPr>
            <w:r w:rsidRPr="00DE61EE">
              <w:rPr>
                <w:sz w:val="20"/>
              </w:rPr>
              <w:t>0.496</w:t>
            </w:r>
          </w:p>
        </w:tc>
        <w:tc>
          <w:tcPr>
            <w:tcW w:w="1152" w:type="dxa"/>
            <w:noWrap/>
            <w:hideMark/>
          </w:tcPr>
          <w:p w:rsidR="00596D1E" w:rsidRPr="00DE61EE" w:rsidRDefault="00596D1E" w:rsidP="00DE61EE">
            <w:pPr>
              <w:cnfStyle w:val="000000100000" w:firstRow="0" w:lastRow="0" w:firstColumn="0" w:lastColumn="0" w:oddVBand="0" w:evenVBand="0" w:oddHBand="1" w:evenHBand="0" w:firstRowFirstColumn="0" w:firstRowLastColumn="0" w:lastRowFirstColumn="0" w:lastRowLastColumn="0"/>
              <w:rPr>
                <w:sz w:val="20"/>
              </w:rPr>
            </w:pPr>
            <w:r w:rsidRPr="00DE61EE">
              <w:rPr>
                <w:sz w:val="20"/>
              </w:rPr>
              <w:t>0.518</w:t>
            </w:r>
          </w:p>
        </w:tc>
        <w:tc>
          <w:tcPr>
            <w:tcW w:w="1152" w:type="dxa"/>
            <w:noWrap/>
            <w:hideMark/>
          </w:tcPr>
          <w:p w:rsidR="00596D1E" w:rsidRPr="00DE61EE" w:rsidRDefault="00596D1E" w:rsidP="00DE61EE">
            <w:pPr>
              <w:cnfStyle w:val="000000100000" w:firstRow="0" w:lastRow="0" w:firstColumn="0" w:lastColumn="0" w:oddVBand="0" w:evenVBand="0" w:oddHBand="1" w:evenHBand="0" w:firstRowFirstColumn="0" w:firstRowLastColumn="0" w:lastRowFirstColumn="0" w:lastRowLastColumn="0"/>
              <w:rPr>
                <w:sz w:val="20"/>
              </w:rPr>
            </w:pPr>
            <w:r w:rsidRPr="00DE61EE">
              <w:rPr>
                <w:sz w:val="20"/>
              </w:rPr>
              <w:t>0.531</w:t>
            </w:r>
          </w:p>
        </w:tc>
      </w:tr>
      <w:tr w:rsidR="00596D1E" w:rsidRPr="00621F09" w:rsidTr="00DE61EE">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vMerge/>
            <w:hideMark/>
          </w:tcPr>
          <w:p w:rsidR="00596D1E" w:rsidRPr="00DE61EE" w:rsidRDefault="00596D1E" w:rsidP="00DE61EE">
            <w:pPr>
              <w:rPr>
                <w:sz w:val="20"/>
              </w:rPr>
            </w:pPr>
          </w:p>
        </w:tc>
        <w:tc>
          <w:tcPr>
            <w:tcW w:w="2592" w:type="dxa"/>
            <w:noWrap/>
            <w:hideMark/>
          </w:tcPr>
          <w:p w:rsidR="00596D1E" w:rsidRPr="00DE61EE" w:rsidRDefault="00596D1E" w:rsidP="00DE61EE">
            <w:pPr>
              <w:cnfStyle w:val="000000000000" w:firstRow="0" w:lastRow="0" w:firstColumn="0" w:lastColumn="0" w:oddVBand="0" w:evenVBand="0" w:oddHBand="0" w:evenHBand="0" w:firstRowFirstColumn="0" w:firstRowLastColumn="0" w:lastRowFirstColumn="0" w:lastRowLastColumn="0"/>
              <w:rPr>
                <w:b/>
                <w:bCs/>
                <w:sz w:val="20"/>
              </w:rPr>
            </w:pPr>
            <w:r w:rsidRPr="00DE61EE">
              <w:rPr>
                <w:b/>
                <w:bCs/>
                <w:sz w:val="20"/>
              </w:rPr>
              <w:t>ROGERS</w:t>
            </w:r>
          </w:p>
        </w:tc>
        <w:tc>
          <w:tcPr>
            <w:tcW w:w="1152" w:type="dxa"/>
            <w:noWrap/>
            <w:hideMark/>
          </w:tcPr>
          <w:p w:rsidR="00596D1E" w:rsidRPr="00DE61EE" w:rsidRDefault="00596D1E" w:rsidP="00DE61EE">
            <w:pPr>
              <w:cnfStyle w:val="000000000000" w:firstRow="0" w:lastRow="0" w:firstColumn="0" w:lastColumn="0" w:oddVBand="0" w:evenVBand="0" w:oddHBand="0" w:evenHBand="0" w:firstRowFirstColumn="0" w:firstRowLastColumn="0" w:lastRowFirstColumn="0" w:lastRowLastColumn="0"/>
              <w:rPr>
                <w:sz w:val="20"/>
              </w:rPr>
            </w:pPr>
            <w:r w:rsidRPr="00DE61EE">
              <w:rPr>
                <w:sz w:val="20"/>
              </w:rPr>
              <w:t>0.689</w:t>
            </w:r>
          </w:p>
        </w:tc>
        <w:tc>
          <w:tcPr>
            <w:tcW w:w="1152" w:type="dxa"/>
            <w:noWrap/>
            <w:hideMark/>
          </w:tcPr>
          <w:p w:rsidR="00596D1E" w:rsidRPr="00DE61EE" w:rsidRDefault="00596D1E" w:rsidP="00DE61EE">
            <w:pPr>
              <w:cnfStyle w:val="000000000000" w:firstRow="0" w:lastRow="0" w:firstColumn="0" w:lastColumn="0" w:oddVBand="0" w:evenVBand="0" w:oddHBand="0" w:evenHBand="0" w:firstRowFirstColumn="0" w:firstRowLastColumn="0" w:lastRowFirstColumn="0" w:lastRowLastColumn="0"/>
              <w:rPr>
                <w:sz w:val="20"/>
              </w:rPr>
            </w:pPr>
            <w:r w:rsidRPr="00DE61EE">
              <w:rPr>
                <w:sz w:val="20"/>
              </w:rPr>
              <w:t>0.713</w:t>
            </w:r>
          </w:p>
        </w:tc>
        <w:tc>
          <w:tcPr>
            <w:tcW w:w="1152" w:type="dxa"/>
            <w:noWrap/>
            <w:hideMark/>
          </w:tcPr>
          <w:p w:rsidR="00596D1E" w:rsidRPr="00DE61EE" w:rsidRDefault="00596D1E" w:rsidP="00DE61EE">
            <w:pPr>
              <w:cnfStyle w:val="000000000000" w:firstRow="0" w:lastRow="0" w:firstColumn="0" w:lastColumn="0" w:oddVBand="0" w:evenVBand="0" w:oddHBand="0" w:evenHBand="0" w:firstRowFirstColumn="0" w:firstRowLastColumn="0" w:lastRowFirstColumn="0" w:lastRowLastColumn="0"/>
              <w:rPr>
                <w:sz w:val="20"/>
              </w:rPr>
            </w:pPr>
            <w:r w:rsidRPr="00DE61EE">
              <w:rPr>
                <w:sz w:val="20"/>
              </w:rPr>
              <w:t>0.672</w:t>
            </w:r>
          </w:p>
        </w:tc>
        <w:tc>
          <w:tcPr>
            <w:tcW w:w="1152" w:type="dxa"/>
            <w:noWrap/>
            <w:hideMark/>
          </w:tcPr>
          <w:p w:rsidR="00596D1E" w:rsidRPr="00DE61EE" w:rsidRDefault="00596D1E" w:rsidP="00DE61EE">
            <w:pPr>
              <w:cnfStyle w:val="000000000000" w:firstRow="0" w:lastRow="0" w:firstColumn="0" w:lastColumn="0" w:oddVBand="0" w:evenVBand="0" w:oddHBand="0" w:evenHBand="0" w:firstRowFirstColumn="0" w:firstRowLastColumn="0" w:lastRowFirstColumn="0" w:lastRowLastColumn="0"/>
              <w:rPr>
                <w:sz w:val="20"/>
              </w:rPr>
            </w:pPr>
            <w:r w:rsidRPr="00DE61EE">
              <w:rPr>
                <w:sz w:val="20"/>
              </w:rPr>
              <w:t>0.636</w:t>
            </w:r>
          </w:p>
        </w:tc>
      </w:tr>
    </w:tbl>
    <w:p w:rsidR="00596D1E" w:rsidRPr="00DE61EE" w:rsidRDefault="00596D1E" w:rsidP="00DE61EE">
      <w:pPr>
        <w:pStyle w:val="Caption"/>
        <w:rPr>
          <w:color w:val="1F497D" w:themeColor="text2"/>
        </w:rPr>
      </w:pPr>
      <w:r w:rsidRPr="00DE61EE">
        <w:rPr>
          <w:color w:val="1F497D" w:themeColor="text2"/>
        </w:rPr>
        <w:t>Table 3</w:t>
      </w:r>
      <w:r w:rsidR="00621267">
        <w:rPr>
          <w:color w:val="1F497D" w:themeColor="text2"/>
        </w:rPr>
        <w:t xml:space="preserve"> -</w:t>
      </w:r>
      <w:r w:rsidRPr="00DE61EE">
        <w:rPr>
          <w:color w:val="1F497D" w:themeColor="text2"/>
        </w:rPr>
        <w:t xml:space="preserve"> Total Revenue, Total Asset and Asset Turnover for Telus and Rogers</w:t>
      </w:r>
    </w:p>
    <w:p w:rsidR="00DE61EE" w:rsidRDefault="00DE61EE" w:rsidP="00DE61EE"/>
    <w:p w:rsidR="00DE61EE" w:rsidRDefault="00DE61EE" w:rsidP="00DE61EE"/>
    <w:p w:rsidR="00596D1E" w:rsidRDefault="00596D1E" w:rsidP="00DE61EE">
      <w:r>
        <w:t>As shown in Table 3, Rogers has been generating higher overall turnover from its investments compared to Telus</w:t>
      </w:r>
      <w:r w:rsidRPr="007A051C">
        <w:t xml:space="preserve">. </w:t>
      </w:r>
      <w:r w:rsidR="00DE61EE" w:rsidRPr="007A051C">
        <w:t xml:space="preserve">Additionally, </w:t>
      </w:r>
      <w:r w:rsidR="002422B8" w:rsidRPr="007A051C">
        <w:t xml:space="preserve">we note that </w:t>
      </w:r>
      <w:r w:rsidRPr="007A051C">
        <w:t>Roger</w:t>
      </w:r>
      <w:r w:rsidR="00DE61EE" w:rsidRPr="007A051C">
        <w:t xml:space="preserve">s generated </w:t>
      </w:r>
      <w:r w:rsidR="002422B8" w:rsidRPr="007A051C">
        <w:t xml:space="preserve">14 to 22% more revenue </w:t>
      </w:r>
      <w:r w:rsidRPr="007A051C">
        <w:t xml:space="preserve">with </w:t>
      </w:r>
      <w:r w:rsidR="002422B8" w:rsidRPr="007A051C">
        <w:t xml:space="preserve">4 to </w:t>
      </w:r>
      <w:r w:rsidR="00DE61EE" w:rsidRPr="007A051C">
        <w:t xml:space="preserve">11% </w:t>
      </w:r>
      <w:r w:rsidRPr="007A051C">
        <w:t>less total assets,</w:t>
      </w:r>
      <w:r>
        <w:t xml:space="preserve"> compared to Telus </w:t>
      </w:r>
      <w:r w:rsidR="00DE61EE">
        <w:t xml:space="preserve">on an annual basis between </w:t>
      </w:r>
      <w:r>
        <w:t xml:space="preserve">2009 and 2012. </w:t>
      </w:r>
      <w:r w:rsidR="002422B8" w:rsidRPr="007A051C">
        <w:t xml:space="preserve">This statement is also supported by the asset turnover </w:t>
      </w:r>
      <w:r w:rsidR="002422B8" w:rsidRPr="007A051C">
        <w:lastRenderedPageBreak/>
        <w:t>values, which show that Rogers is able to generate more revenues from its assets compared to Telus.</w:t>
      </w:r>
      <w:r w:rsidR="002422B8">
        <w:t xml:space="preserve"> </w:t>
      </w:r>
      <w:r>
        <w:t>This suggests that Rogers made the better use of its investment.</w:t>
      </w:r>
    </w:p>
    <w:p w:rsidR="00596D1E" w:rsidRDefault="00596D1E" w:rsidP="00D1334F">
      <w:r>
        <w:tab/>
        <w:t xml:space="preserve">As </w:t>
      </w:r>
      <w:r w:rsidR="00DE61EE">
        <w:t>previously mentioned</w:t>
      </w:r>
      <w:r>
        <w:t xml:space="preserve">, these turnover indicators must also be considered </w:t>
      </w:r>
      <w:r w:rsidR="00D1334F">
        <w:t>in the context of</w:t>
      </w:r>
      <w:r>
        <w:t xml:space="preserve"> profitability indicators. Table 4 shows that the profit margin for Rogers is slightly </w:t>
      </w:r>
      <w:r w:rsidR="00D1334F">
        <w:t>greater</w:t>
      </w:r>
      <w:r w:rsidR="00D927F1">
        <w:t xml:space="preserve"> than that of Telus. </w:t>
      </w:r>
      <w:r w:rsidR="00D927F1" w:rsidRPr="007A051C">
        <w:t>Because</w:t>
      </w:r>
      <w:r w:rsidR="002422B8" w:rsidRPr="007A051C">
        <w:t xml:space="preserve"> the general return on </w:t>
      </w:r>
      <w:r w:rsidR="00D927F1" w:rsidRPr="007A051C">
        <w:t>investment</w:t>
      </w:r>
      <w:r w:rsidR="002422B8" w:rsidRPr="007A051C">
        <w:t xml:space="preserve"> is the product of </w:t>
      </w:r>
      <w:r w:rsidR="00D927F1" w:rsidRPr="007A051C">
        <w:t xml:space="preserve">the investment turnover (table 3) and profit margin (table 4), </w:t>
      </w:r>
      <w:r w:rsidR="00FB124D" w:rsidRPr="007A051C">
        <w:t>we notice that Rogers has higher values in both and consequently</w:t>
      </w:r>
      <w:r w:rsidRPr="007A051C">
        <w:t xml:space="preserve"> a higher</w:t>
      </w:r>
      <w:r w:rsidR="00FB124D" w:rsidRPr="007A051C">
        <w:t xml:space="preserve"> </w:t>
      </w:r>
      <w:r w:rsidRPr="007A051C">
        <w:t>return on investment.</w:t>
      </w:r>
    </w:p>
    <w:tbl>
      <w:tblPr>
        <w:tblStyle w:val="LightList-Accent1"/>
        <w:tblW w:w="7488" w:type="dxa"/>
        <w:jc w:val="center"/>
        <w:tblLook w:val="04A0" w:firstRow="1" w:lastRow="0" w:firstColumn="1" w:lastColumn="0" w:noHBand="0" w:noVBand="1"/>
      </w:tblPr>
      <w:tblGrid>
        <w:gridCol w:w="2160"/>
        <w:gridCol w:w="1296"/>
        <w:gridCol w:w="1008"/>
        <w:gridCol w:w="1008"/>
        <w:gridCol w:w="1008"/>
        <w:gridCol w:w="1008"/>
      </w:tblGrid>
      <w:tr w:rsidR="00596D1E" w:rsidRPr="002D2147" w:rsidTr="00D1334F">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rsidR="00596D1E" w:rsidRPr="00A10B8E" w:rsidRDefault="00596D1E" w:rsidP="00D1334F">
            <w:r w:rsidRPr="00A10B8E">
              <w:t>INDEX</w:t>
            </w:r>
          </w:p>
        </w:tc>
        <w:tc>
          <w:tcPr>
            <w:tcW w:w="1296" w:type="dxa"/>
            <w:noWrap/>
            <w:hideMark/>
          </w:tcPr>
          <w:p w:rsidR="00596D1E" w:rsidRPr="00A10B8E" w:rsidRDefault="00596D1E" w:rsidP="00D1334F">
            <w:pPr>
              <w:cnfStyle w:val="100000000000" w:firstRow="1" w:lastRow="0" w:firstColumn="0" w:lastColumn="0" w:oddVBand="0" w:evenVBand="0" w:oddHBand="0" w:evenHBand="0" w:firstRowFirstColumn="0" w:firstRowLastColumn="0" w:lastRowFirstColumn="0" w:lastRowLastColumn="0"/>
            </w:pPr>
            <w:r w:rsidRPr="00A10B8E">
              <w:t> </w:t>
            </w:r>
          </w:p>
        </w:tc>
        <w:tc>
          <w:tcPr>
            <w:tcW w:w="1008" w:type="dxa"/>
            <w:noWrap/>
            <w:hideMark/>
          </w:tcPr>
          <w:p w:rsidR="00596D1E" w:rsidRPr="00A10B8E" w:rsidRDefault="00596D1E" w:rsidP="00D1334F">
            <w:pPr>
              <w:cnfStyle w:val="100000000000" w:firstRow="1" w:lastRow="0" w:firstColumn="0" w:lastColumn="0" w:oddVBand="0" w:evenVBand="0" w:oddHBand="0" w:evenHBand="0" w:firstRowFirstColumn="0" w:firstRowLastColumn="0" w:lastRowFirstColumn="0" w:lastRowLastColumn="0"/>
            </w:pPr>
            <w:r w:rsidRPr="00A10B8E">
              <w:t>2009</w:t>
            </w:r>
          </w:p>
        </w:tc>
        <w:tc>
          <w:tcPr>
            <w:tcW w:w="1008" w:type="dxa"/>
            <w:noWrap/>
            <w:hideMark/>
          </w:tcPr>
          <w:p w:rsidR="00596D1E" w:rsidRPr="00A10B8E" w:rsidRDefault="00596D1E" w:rsidP="00D1334F">
            <w:pPr>
              <w:cnfStyle w:val="100000000000" w:firstRow="1" w:lastRow="0" w:firstColumn="0" w:lastColumn="0" w:oddVBand="0" w:evenVBand="0" w:oddHBand="0" w:evenHBand="0" w:firstRowFirstColumn="0" w:firstRowLastColumn="0" w:lastRowFirstColumn="0" w:lastRowLastColumn="0"/>
            </w:pPr>
            <w:r w:rsidRPr="00A10B8E">
              <w:t>2010</w:t>
            </w:r>
          </w:p>
        </w:tc>
        <w:tc>
          <w:tcPr>
            <w:tcW w:w="1008" w:type="dxa"/>
            <w:noWrap/>
            <w:hideMark/>
          </w:tcPr>
          <w:p w:rsidR="00596D1E" w:rsidRPr="00A10B8E" w:rsidRDefault="00596D1E" w:rsidP="00D1334F">
            <w:pPr>
              <w:cnfStyle w:val="100000000000" w:firstRow="1" w:lastRow="0" w:firstColumn="0" w:lastColumn="0" w:oddVBand="0" w:evenVBand="0" w:oddHBand="0" w:evenHBand="0" w:firstRowFirstColumn="0" w:firstRowLastColumn="0" w:lastRowFirstColumn="0" w:lastRowLastColumn="0"/>
            </w:pPr>
            <w:r w:rsidRPr="00A10B8E">
              <w:t>2011</w:t>
            </w:r>
          </w:p>
        </w:tc>
        <w:tc>
          <w:tcPr>
            <w:tcW w:w="1008" w:type="dxa"/>
            <w:noWrap/>
            <w:hideMark/>
          </w:tcPr>
          <w:p w:rsidR="00596D1E" w:rsidRPr="00A10B8E" w:rsidRDefault="00596D1E" w:rsidP="00D1334F">
            <w:pPr>
              <w:cnfStyle w:val="100000000000" w:firstRow="1" w:lastRow="0" w:firstColumn="0" w:lastColumn="0" w:oddVBand="0" w:evenVBand="0" w:oddHBand="0" w:evenHBand="0" w:firstRowFirstColumn="0" w:firstRowLastColumn="0" w:lastRowFirstColumn="0" w:lastRowLastColumn="0"/>
            </w:pPr>
            <w:r w:rsidRPr="00A10B8E">
              <w:t>2012</w:t>
            </w:r>
          </w:p>
        </w:tc>
      </w:tr>
      <w:tr w:rsidR="00596D1E" w:rsidRPr="002D2147" w:rsidTr="00D1334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0" w:type="dxa"/>
            <w:vMerge w:val="restart"/>
            <w:hideMark/>
          </w:tcPr>
          <w:p w:rsidR="00596D1E" w:rsidRPr="00A10B8E" w:rsidRDefault="00596D1E" w:rsidP="00D1334F">
            <w:r w:rsidRPr="00A10B8E">
              <w:t>Profit Margin</w:t>
            </w:r>
          </w:p>
        </w:tc>
        <w:tc>
          <w:tcPr>
            <w:tcW w:w="1296" w:type="dxa"/>
            <w:noWrap/>
            <w:hideMark/>
          </w:tcPr>
          <w:p w:rsidR="00596D1E" w:rsidRPr="00A10B8E" w:rsidRDefault="00596D1E" w:rsidP="00D1334F">
            <w:pPr>
              <w:cnfStyle w:val="000000100000" w:firstRow="0" w:lastRow="0" w:firstColumn="0" w:lastColumn="0" w:oddVBand="0" w:evenVBand="0" w:oddHBand="1" w:evenHBand="0" w:firstRowFirstColumn="0" w:firstRowLastColumn="0" w:lastRowFirstColumn="0" w:lastRowLastColumn="0"/>
              <w:rPr>
                <w:b/>
                <w:bCs/>
              </w:rPr>
            </w:pPr>
            <w:r w:rsidRPr="00A10B8E">
              <w:rPr>
                <w:b/>
                <w:bCs/>
              </w:rPr>
              <w:t>TELUS</w:t>
            </w:r>
          </w:p>
        </w:tc>
        <w:tc>
          <w:tcPr>
            <w:tcW w:w="1008" w:type="dxa"/>
            <w:noWrap/>
            <w:hideMark/>
          </w:tcPr>
          <w:p w:rsidR="00596D1E" w:rsidRPr="00A10B8E" w:rsidRDefault="00596D1E" w:rsidP="00D1334F">
            <w:pPr>
              <w:cnfStyle w:val="000000100000" w:firstRow="0" w:lastRow="0" w:firstColumn="0" w:lastColumn="0" w:oddVBand="0" w:evenVBand="0" w:oddHBand="1" w:evenHBand="0" w:firstRowFirstColumn="0" w:firstRowLastColumn="0" w:lastRowFirstColumn="0" w:lastRowLastColumn="0"/>
            </w:pPr>
            <w:r w:rsidRPr="00A10B8E">
              <w:t>10%</w:t>
            </w:r>
          </w:p>
        </w:tc>
        <w:tc>
          <w:tcPr>
            <w:tcW w:w="1008" w:type="dxa"/>
            <w:noWrap/>
            <w:hideMark/>
          </w:tcPr>
          <w:p w:rsidR="00596D1E" w:rsidRPr="00A10B8E" w:rsidRDefault="00596D1E" w:rsidP="00D1334F">
            <w:pPr>
              <w:cnfStyle w:val="000000100000" w:firstRow="0" w:lastRow="0" w:firstColumn="0" w:lastColumn="0" w:oddVBand="0" w:evenVBand="0" w:oddHBand="1" w:evenHBand="0" w:firstRowFirstColumn="0" w:firstRowLastColumn="0" w:lastRowFirstColumn="0" w:lastRowLastColumn="0"/>
            </w:pPr>
            <w:r w:rsidRPr="00A10B8E">
              <w:t>11%</w:t>
            </w:r>
          </w:p>
        </w:tc>
        <w:tc>
          <w:tcPr>
            <w:tcW w:w="1008" w:type="dxa"/>
            <w:noWrap/>
            <w:hideMark/>
          </w:tcPr>
          <w:p w:rsidR="00596D1E" w:rsidRPr="00A10B8E" w:rsidRDefault="00596D1E" w:rsidP="00D1334F">
            <w:pPr>
              <w:cnfStyle w:val="000000100000" w:firstRow="0" w:lastRow="0" w:firstColumn="0" w:lastColumn="0" w:oddVBand="0" w:evenVBand="0" w:oddHBand="1" w:evenHBand="0" w:firstRowFirstColumn="0" w:firstRowLastColumn="0" w:lastRowFirstColumn="0" w:lastRowLastColumn="0"/>
            </w:pPr>
            <w:r w:rsidRPr="00A10B8E">
              <w:t>12%</w:t>
            </w:r>
          </w:p>
        </w:tc>
        <w:tc>
          <w:tcPr>
            <w:tcW w:w="1008" w:type="dxa"/>
            <w:noWrap/>
            <w:hideMark/>
          </w:tcPr>
          <w:p w:rsidR="00596D1E" w:rsidRPr="00A10B8E" w:rsidRDefault="00596D1E" w:rsidP="00D1334F">
            <w:pPr>
              <w:cnfStyle w:val="000000100000" w:firstRow="0" w:lastRow="0" w:firstColumn="0" w:lastColumn="0" w:oddVBand="0" w:evenVBand="0" w:oddHBand="1" w:evenHBand="0" w:firstRowFirstColumn="0" w:firstRowLastColumn="0" w:lastRowFirstColumn="0" w:lastRowLastColumn="0"/>
            </w:pPr>
            <w:r w:rsidRPr="00A10B8E">
              <w:t>12%</w:t>
            </w:r>
          </w:p>
        </w:tc>
      </w:tr>
      <w:tr w:rsidR="00596D1E" w:rsidRPr="002D2147" w:rsidTr="00D1334F">
        <w:trPr>
          <w:trHeight w:val="315"/>
          <w:jc w:val="center"/>
        </w:trPr>
        <w:tc>
          <w:tcPr>
            <w:cnfStyle w:val="001000000000" w:firstRow="0" w:lastRow="0" w:firstColumn="1" w:lastColumn="0" w:oddVBand="0" w:evenVBand="0" w:oddHBand="0" w:evenHBand="0" w:firstRowFirstColumn="0" w:firstRowLastColumn="0" w:lastRowFirstColumn="0" w:lastRowLastColumn="0"/>
            <w:tcW w:w="2160" w:type="dxa"/>
            <w:vMerge/>
            <w:hideMark/>
          </w:tcPr>
          <w:p w:rsidR="00596D1E" w:rsidRPr="00A10B8E" w:rsidRDefault="00596D1E" w:rsidP="00D1334F"/>
        </w:tc>
        <w:tc>
          <w:tcPr>
            <w:tcW w:w="1296" w:type="dxa"/>
            <w:noWrap/>
            <w:hideMark/>
          </w:tcPr>
          <w:p w:rsidR="00596D1E" w:rsidRPr="00A10B8E" w:rsidRDefault="00596D1E" w:rsidP="00D1334F">
            <w:pPr>
              <w:cnfStyle w:val="000000000000" w:firstRow="0" w:lastRow="0" w:firstColumn="0" w:lastColumn="0" w:oddVBand="0" w:evenVBand="0" w:oddHBand="0" w:evenHBand="0" w:firstRowFirstColumn="0" w:firstRowLastColumn="0" w:lastRowFirstColumn="0" w:lastRowLastColumn="0"/>
              <w:rPr>
                <w:b/>
                <w:bCs/>
              </w:rPr>
            </w:pPr>
            <w:r w:rsidRPr="00A10B8E">
              <w:rPr>
                <w:b/>
                <w:bCs/>
              </w:rPr>
              <w:t>ROGERS</w:t>
            </w:r>
          </w:p>
        </w:tc>
        <w:tc>
          <w:tcPr>
            <w:tcW w:w="1008" w:type="dxa"/>
            <w:noWrap/>
            <w:hideMark/>
          </w:tcPr>
          <w:p w:rsidR="00596D1E" w:rsidRPr="00A10B8E" w:rsidRDefault="00596D1E" w:rsidP="00D1334F">
            <w:pPr>
              <w:cnfStyle w:val="000000000000" w:firstRow="0" w:lastRow="0" w:firstColumn="0" w:lastColumn="0" w:oddVBand="0" w:evenVBand="0" w:oddHBand="0" w:evenHBand="0" w:firstRowFirstColumn="0" w:firstRowLastColumn="0" w:lastRowFirstColumn="0" w:lastRowLastColumn="0"/>
            </w:pPr>
            <w:r w:rsidRPr="00A10B8E">
              <w:t>13%</w:t>
            </w:r>
          </w:p>
        </w:tc>
        <w:tc>
          <w:tcPr>
            <w:tcW w:w="1008" w:type="dxa"/>
            <w:noWrap/>
            <w:hideMark/>
          </w:tcPr>
          <w:p w:rsidR="00596D1E" w:rsidRPr="00A10B8E" w:rsidRDefault="00596D1E" w:rsidP="00D1334F">
            <w:pPr>
              <w:cnfStyle w:val="000000000000" w:firstRow="0" w:lastRow="0" w:firstColumn="0" w:lastColumn="0" w:oddVBand="0" w:evenVBand="0" w:oddHBand="0" w:evenHBand="0" w:firstRowFirstColumn="0" w:firstRowLastColumn="0" w:lastRowFirstColumn="0" w:lastRowLastColumn="0"/>
            </w:pPr>
            <w:r w:rsidRPr="00A10B8E">
              <w:t>12%</w:t>
            </w:r>
          </w:p>
        </w:tc>
        <w:tc>
          <w:tcPr>
            <w:tcW w:w="1008" w:type="dxa"/>
            <w:noWrap/>
            <w:hideMark/>
          </w:tcPr>
          <w:p w:rsidR="00596D1E" w:rsidRPr="00A10B8E" w:rsidRDefault="00596D1E" w:rsidP="00D1334F">
            <w:pPr>
              <w:cnfStyle w:val="000000000000" w:firstRow="0" w:lastRow="0" w:firstColumn="0" w:lastColumn="0" w:oddVBand="0" w:evenVBand="0" w:oddHBand="0" w:evenHBand="0" w:firstRowFirstColumn="0" w:firstRowLastColumn="0" w:lastRowFirstColumn="0" w:lastRowLastColumn="0"/>
            </w:pPr>
            <w:r w:rsidRPr="00A10B8E">
              <w:t>13%</w:t>
            </w:r>
          </w:p>
        </w:tc>
        <w:tc>
          <w:tcPr>
            <w:tcW w:w="1008" w:type="dxa"/>
            <w:noWrap/>
            <w:hideMark/>
          </w:tcPr>
          <w:p w:rsidR="00596D1E" w:rsidRPr="00A10B8E" w:rsidRDefault="00596D1E" w:rsidP="00D1334F">
            <w:pPr>
              <w:cnfStyle w:val="000000000000" w:firstRow="0" w:lastRow="0" w:firstColumn="0" w:lastColumn="0" w:oddVBand="0" w:evenVBand="0" w:oddHBand="0" w:evenHBand="0" w:firstRowFirstColumn="0" w:firstRowLastColumn="0" w:lastRowFirstColumn="0" w:lastRowLastColumn="0"/>
            </w:pPr>
            <w:r w:rsidRPr="00A10B8E">
              <w:t>14%</w:t>
            </w:r>
          </w:p>
        </w:tc>
      </w:tr>
      <w:tr w:rsidR="00596D1E" w:rsidRPr="002D2147" w:rsidTr="00D1334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0" w:type="dxa"/>
            <w:vMerge w:val="restart"/>
            <w:hideMark/>
          </w:tcPr>
          <w:p w:rsidR="00596D1E" w:rsidRPr="00A10B8E" w:rsidRDefault="00596D1E" w:rsidP="00D1334F">
            <w:r w:rsidRPr="00A10B8E">
              <w:t>Return on Investment</w:t>
            </w:r>
          </w:p>
        </w:tc>
        <w:tc>
          <w:tcPr>
            <w:tcW w:w="1296" w:type="dxa"/>
            <w:noWrap/>
            <w:hideMark/>
          </w:tcPr>
          <w:p w:rsidR="00596D1E" w:rsidRPr="00A10B8E" w:rsidRDefault="00596D1E" w:rsidP="00D1334F">
            <w:pPr>
              <w:cnfStyle w:val="000000100000" w:firstRow="0" w:lastRow="0" w:firstColumn="0" w:lastColumn="0" w:oddVBand="0" w:evenVBand="0" w:oddHBand="1" w:evenHBand="0" w:firstRowFirstColumn="0" w:firstRowLastColumn="0" w:lastRowFirstColumn="0" w:lastRowLastColumn="0"/>
              <w:rPr>
                <w:b/>
                <w:bCs/>
              </w:rPr>
            </w:pPr>
            <w:r w:rsidRPr="00A10B8E">
              <w:rPr>
                <w:b/>
                <w:bCs/>
              </w:rPr>
              <w:t>TELUS</w:t>
            </w:r>
          </w:p>
        </w:tc>
        <w:tc>
          <w:tcPr>
            <w:tcW w:w="1008" w:type="dxa"/>
            <w:noWrap/>
            <w:hideMark/>
          </w:tcPr>
          <w:p w:rsidR="00596D1E" w:rsidRPr="00A10B8E" w:rsidRDefault="00596D1E" w:rsidP="00D1334F">
            <w:pPr>
              <w:cnfStyle w:val="000000100000" w:firstRow="0" w:lastRow="0" w:firstColumn="0" w:lastColumn="0" w:oddVBand="0" w:evenVBand="0" w:oddHBand="1" w:evenHBand="0" w:firstRowFirstColumn="0" w:firstRowLastColumn="0" w:lastRowFirstColumn="0" w:lastRowLastColumn="0"/>
            </w:pPr>
            <w:r w:rsidRPr="00A10B8E">
              <w:t>5%</w:t>
            </w:r>
          </w:p>
        </w:tc>
        <w:tc>
          <w:tcPr>
            <w:tcW w:w="1008" w:type="dxa"/>
            <w:noWrap/>
            <w:hideMark/>
          </w:tcPr>
          <w:p w:rsidR="00596D1E" w:rsidRPr="00A10B8E" w:rsidRDefault="00596D1E" w:rsidP="00D1334F">
            <w:pPr>
              <w:cnfStyle w:val="000000100000" w:firstRow="0" w:lastRow="0" w:firstColumn="0" w:lastColumn="0" w:oddVBand="0" w:evenVBand="0" w:oddHBand="1" w:evenHBand="0" w:firstRowFirstColumn="0" w:firstRowLastColumn="0" w:lastRowFirstColumn="0" w:lastRowLastColumn="0"/>
            </w:pPr>
            <w:r w:rsidRPr="00A10B8E">
              <w:t>5%</w:t>
            </w:r>
          </w:p>
        </w:tc>
        <w:tc>
          <w:tcPr>
            <w:tcW w:w="1008" w:type="dxa"/>
            <w:noWrap/>
            <w:hideMark/>
          </w:tcPr>
          <w:p w:rsidR="00596D1E" w:rsidRPr="00A10B8E" w:rsidRDefault="00596D1E" w:rsidP="00D1334F">
            <w:pPr>
              <w:cnfStyle w:val="000000100000" w:firstRow="0" w:lastRow="0" w:firstColumn="0" w:lastColumn="0" w:oddVBand="0" w:evenVBand="0" w:oddHBand="1" w:evenHBand="0" w:firstRowFirstColumn="0" w:firstRowLastColumn="0" w:lastRowFirstColumn="0" w:lastRowLastColumn="0"/>
            </w:pPr>
            <w:r w:rsidRPr="00A10B8E">
              <w:t>6%</w:t>
            </w:r>
          </w:p>
        </w:tc>
        <w:tc>
          <w:tcPr>
            <w:tcW w:w="1008" w:type="dxa"/>
            <w:noWrap/>
            <w:hideMark/>
          </w:tcPr>
          <w:p w:rsidR="00596D1E" w:rsidRPr="00A10B8E" w:rsidRDefault="00596D1E" w:rsidP="00D1334F">
            <w:pPr>
              <w:cnfStyle w:val="000000100000" w:firstRow="0" w:lastRow="0" w:firstColumn="0" w:lastColumn="0" w:oddVBand="0" w:evenVBand="0" w:oddHBand="1" w:evenHBand="0" w:firstRowFirstColumn="0" w:firstRowLastColumn="0" w:lastRowFirstColumn="0" w:lastRowLastColumn="0"/>
            </w:pPr>
            <w:r w:rsidRPr="00A10B8E">
              <w:t>6%</w:t>
            </w:r>
          </w:p>
        </w:tc>
      </w:tr>
      <w:tr w:rsidR="00596D1E" w:rsidRPr="002D2147" w:rsidTr="00D1334F">
        <w:trPr>
          <w:trHeight w:val="315"/>
          <w:jc w:val="center"/>
        </w:trPr>
        <w:tc>
          <w:tcPr>
            <w:cnfStyle w:val="001000000000" w:firstRow="0" w:lastRow="0" w:firstColumn="1" w:lastColumn="0" w:oddVBand="0" w:evenVBand="0" w:oddHBand="0" w:evenHBand="0" w:firstRowFirstColumn="0" w:firstRowLastColumn="0" w:lastRowFirstColumn="0" w:lastRowLastColumn="0"/>
            <w:tcW w:w="2160" w:type="dxa"/>
            <w:vMerge/>
            <w:hideMark/>
          </w:tcPr>
          <w:p w:rsidR="00596D1E" w:rsidRPr="00A10B8E" w:rsidRDefault="00596D1E" w:rsidP="00D1334F"/>
        </w:tc>
        <w:tc>
          <w:tcPr>
            <w:tcW w:w="1296" w:type="dxa"/>
            <w:noWrap/>
            <w:hideMark/>
          </w:tcPr>
          <w:p w:rsidR="00596D1E" w:rsidRPr="00A10B8E" w:rsidRDefault="00596D1E" w:rsidP="00D1334F">
            <w:pPr>
              <w:cnfStyle w:val="000000000000" w:firstRow="0" w:lastRow="0" w:firstColumn="0" w:lastColumn="0" w:oddVBand="0" w:evenVBand="0" w:oddHBand="0" w:evenHBand="0" w:firstRowFirstColumn="0" w:firstRowLastColumn="0" w:lastRowFirstColumn="0" w:lastRowLastColumn="0"/>
              <w:rPr>
                <w:b/>
                <w:bCs/>
              </w:rPr>
            </w:pPr>
            <w:r w:rsidRPr="00A10B8E">
              <w:rPr>
                <w:b/>
                <w:bCs/>
              </w:rPr>
              <w:t>ROGERS</w:t>
            </w:r>
          </w:p>
        </w:tc>
        <w:tc>
          <w:tcPr>
            <w:tcW w:w="1008" w:type="dxa"/>
            <w:noWrap/>
            <w:hideMark/>
          </w:tcPr>
          <w:p w:rsidR="00596D1E" w:rsidRPr="00A10B8E" w:rsidRDefault="00596D1E" w:rsidP="00D1334F">
            <w:pPr>
              <w:cnfStyle w:val="000000000000" w:firstRow="0" w:lastRow="0" w:firstColumn="0" w:lastColumn="0" w:oddVBand="0" w:evenVBand="0" w:oddHBand="0" w:evenHBand="0" w:firstRowFirstColumn="0" w:firstRowLastColumn="0" w:lastRowFirstColumn="0" w:lastRowLastColumn="0"/>
            </w:pPr>
            <w:r w:rsidRPr="00A10B8E">
              <w:t>9%</w:t>
            </w:r>
          </w:p>
        </w:tc>
        <w:tc>
          <w:tcPr>
            <w:tcW w:w="1008" w:type="dxa"/>
            <w:noWrap/>
            <w:hideMark/>
          </w:tcPr>
          <w:p w:rsidR="00596D1E" w:rsidRPr="00A10B8E" w:rsidRDefault="00596D1E" w:rsidP="00D1334F">
            <w:pPr>
              <w:cnfStyle w:val="000000000000" w:firstRow="0" w:lastRow="0" w:firstColumn="0" w:lastColumn="0" w:oddVBand="0" w:evenVBand="0" w:oddHBand="0" w:evenHBand="0" w:firstRowFirstColumn="0" w:firstRowLastColumn="0" w:lastRowFirstColumn="0" w:lastRowLastColumn="0"/>
            </w:pPr>
            <w:r w:rsidRPr="00A10B8E">
              <w:t>9%</w:t>
            </w:r>
          </w:p>
        </w:tc>
        <w:tc>
          <w:tcPr>
            <w:tcW w:w="1008" w:type="dxa"/>
            <w:noWrap/>
            <w:hideMark/>
          </w:tcPr>
          <w:p w:rsidR="00596D1E" w:rsidRPr="00A10B8E" w:rsidRDefault="00596D1E" w:rsidP="00D1334F">
            <w:pPr>
              <w:cnfStyle w:val="000000000000" w:firstRow="0" w:lastRow="0" w:firstColumn="0" w:lastColumn="0" w:oddVBand="0" w:evenVBand="0" w:oddHBand="0" w:evenHBand="0" w:firstRowFirstColumn="0" w:firstRowLastColumn="0" w:lastRowFirstColumn="0" w:lastRowLastColumn="0"/>
            </w:pPr>
            <w:r w:rsidRPr="00A10B8E">
              <w:t>9%</w:t>
            </w:r>
          </w:p>
        </w:tc>
        <w:tc>
          <w:tcPr>
            <w:tcW w:w="1008" w:type="dxa"/>
            <w:noWrap/>
            <w:hideMark/>
          </w:tcPr>
          <w:p w:rsidR="00596D1E" w:rsidRPr="00A10B8E" w:rsidRDefault="00596D1E" w:rsidP="00D1334F">
            <w:pPr>
              <w:cnfStyle w:val="000000000000" w:firstRow="0" w:lastRow="0" w:firstColumn="0" w:lastColumn="0" w:oddVBand="0" w:evenVBand="0" w:oddHBand="0" w:evenHBand="0" w:firstRowFirstColumn="0" w:firstRowLastColumn="0" w:lastRowFirstColumn="0" w:lastRowLastColumn="0"/>
            </w:pPr>
            <w:r w:rsidRPr="00A10B8E">
              <w:t>9%</w:t>
            </w:r>
          </w:p>
        </w:tc>
      </w:tr>
    </w:tbl>
    <w:p w:rsidR="00596D1E" w:rsidRPr="00D1334F" w:rsidRDefault="00596D1E" w:rsidP="00D1334F">
      <w:pPr>
        <w:pStyle w:val="Caption"/>
        <w:ind w:left="720"/>
        <w:rPr>
          <w:color w:val="1F497D" w:themeColor="text2"/>
        </w:rPr>
      </w:pPr>
      <w:r w:rsidRPr="00D1334F">
        <w:rPr>
          <w:color w:val="1F497D" w:themeColor="text2"/>
        </w:rPr>
        <w:t>Table 4</w:t>
      </w:r>
      <w:r w:rsidR="00621267">
        <w:rPr>
          <w:color w:val="1F497D" w:themeColor="text2"/>
        </w:rPr>
        <w:t xml:space="preserve"> -</w:t>
      </w:r>
      <w:r w:rsidRPr="00D1334F">
        <w:rPr>
          <w:color w:val="1F497D" w:themeColor="text2"/>
        </w:rPr>
        <w:t xml:space="preserve"> Profit Margin and Return on Investment for Telus and Rogers</w:t>
      </w:r>
    </w:p>
    <w:p w:rsidR="00D1334F" w:rsidRDefault="00D1334F" w:rsidP="00D1334F"/>
    <w:p w:rsidR="00596D1E" w:rsidRDefault="00596D1E" w:rsidP="00D1334F">
      <w:r>
        <w:t>O</w:t>
      </w:r>
      <w:r w:rsidRPr="00C67C6D">
        <w:t xml:space="preserve">ther </w:t>
      </w:r>
      <w:r>
        <w:t>significant</w:t>
      </w:r>
      <w:r w:rsidRPr="00C67C6D">
        <w:t xml:space="preserve"> indicators include the </w:t>
      </w:r>
      <w:r>
        <w:t>i</w:t>
      </w:r>
      <w:r w:rsidRPr="00C67C6D">
        <w:t xml:space="preserve">nvested </w:t>
      </w:r>
      <w:r>
        <w:t>c</w:t>
      </w:r>
      <w:r w:rsidRPr="00C67C6D">
        <w:t xml:space="preserve">apital </w:t>
      </w:r>
      <w:r>
        <w:t>turnover, the equity turnover, the capital a</w:t>
      </w:r>
      <w:r w:rsidRPr="00C67C6D">
        <w:t>ss</w:t>
      </w:r>
      <w:r>
        <w:t>et intensity and the inventory turnover.</w:t>
      </w:r>
      <w:r w:rsidR="00D1334F">
        <w:t xml:space="preserve"> </w:t>
      </w:r>
      <w:r>
        <w:t>As shown in Table 5</w:t>
      </w:r>
      <w:r w:rsidRPr="00C67C6D">
        <w:t>, Rogers is able to use its invested capital, equity, fixed and long</w:t>
      </w:r>
      <w:r>
        <w:t>-</w:t>
      </w:r>
      <w:r w:rsidRPr="00C67C6D">
        <w:t>term assets</w:t>
      </w:r>
      <w:r>
        <w:t>,</w:t>
      </w:r>
      <w:r w:rsidRPr="00C67C6D">
        <w:t xml:space="preserve"> as well as inventory to generate proportionally more sales revenue</w:t>
      </w:r>
      <w:r>
        <w:t xml:space="preserve"> than Telus does. </w:t>
      </w:r>
    </w:p>
    <w:p w:rsidR="00E058FF" w:rsidRDefault="00E058FF" w:rsidP="00D1334F"/>
    <w:p w:rsidR="00E058FF" w:rsidRDefault="00E058FF" w:rsidP="00D1334F"/>
    <w:p w:rsidR="00E058FF" w:rsidRDefault="00E058FF" w:rsidP="00D1334F"/>
    <w:p w:rsidR="00E058FF" w:rsidRDefault="00E058FF" w:rsidP="00D1334F"/>
    <w:p w:rsidR="00E058FF" w:rsidRDefault="00E058FF" w:rsidP="00D1334F"/>
    <w:p w:rsidR="00E058FF" w:rsidRDefault="00E058FF" w:rsidP="00D1334F"/>
    <w:p w:rsidR="00E058FF" w:rsidRDefault="00E058FF" w:rsidP="00D1334F"/>
    <w:tbl>
      <w:tblPr>
        <w:tblStyle w:val="LightList-Accent1"/>
        <w:tblW w:w="8992" w:type="dxa"/>
        <w:jc w:val="center"/>
        <w:tblLook w:val="04A0" w:firstRow="1" w:lastRow="0" w:firstColumn="1" w:lastColumn="0" w:noHBand="0" w:noVBand="1"/>
      </w:tblPr>
      <w:tblGrid>
        <w:gridCol w:w="2736"/>
        <w:gridCol w:w="1072"/>
        <w:gridCol w:w="1296"/>
        <w:gridCol w:w="1296"/>
        <w:gridCol w:w="1296"/>
        <w:gridCol w:w="1296"/>
      </w:tblGrid>
      <w:tr w:rsidR="00596D1E" w:rsidRPr="00665542" w:rsidTr="00E058F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36" w:type="dxa"/>
            <w:noWrap/>
            <w:hideMark/>
          </w:tcPr>
          <w:p w:rsidR="00596D1E" w:rsidRPr="00E058FF" w:rsidRDefault="00596D1E" w:rsidP="00D1334F">
            <w:pPr>
              <w:rPr>
                <w:sz w:val="20"/>
              </w:rPr>
            </w:pPr>
            <w:r w:rsidRPr="00E058FF">
              <w:rPr>
                <w:sz w:val="20"/>
              </w:rPr>
              <w:t>INDEX</w:t>
            </w:r>
          </w:p>
        </w:tc>
        <w:tc>
          <w:tcPr>
            <w:tcW w:w="1072" w:type="dxa"/>
            <w:noWrap/>
            <w:hideMark/>
          </w:tcPr>
          <w:p w:rsidR="00596D1E" w:rsidRPr="00E058FF" w:rsidRDefault="00596D1E" w:rsidP="00D1334F">
            <w:pPr>
              <w:cnfStyle w:val="100000000000" w:firstRow="1" w:lastRow="0" w:firstColumn="0" w:lastColumn="0" w:oddVBand="0" w:evenVBand="0" w:oddHBand="0" w:evenHBand="0" w:firstRowFirstColumn="0" w:firstRowLastColumn="0" w:lastRowFirstColumn="0" w:lastRowLastColumn="0"/>
              <w:rPr>
                <w:sz w:val="20"/>
              </w:rPr>
            </w:pPr>
            <w:r w:rsidRPr="00E058FF">
              <w:rPr>
                <w:sz w:val="20"/>
              </w:rPr>
              <w:t> </w:t>
            </w:r>
          </w:p>
        </w:tc>
        <w:tc>
          <w:tcPr>
            <w:tcW w:w="1296" w:type="dxa"/>
            <w:noWrap/>
            <w:hideMark/>
          </w:tcPr>
          <w:p w:rsidR="00596D1E" w:rsidRPr="00E058FF" w:rsidRDefault="00596D1E" w:rsidP="00D1334F">
            <w:pPr>
              <w:cnfStyle w:val="100000000000" w:firstRow="1" w:lastRow="0" w:firstColumn="0" w:lastColumn="0" w:oddVBand="0" w:evenVBand="0" w:oddHBand="0" w:evenHBand="0" w:firstRowFirstColumn="0" w:firstRowLastColumn="0" w:lastRowFirstColumn="0" w:lastRowLastColumn="0"/>
              <w:rPr>
                <w:sz w:val="20"/>
              </w:rPr>
            </w:pPr>
            <w:r w:rsidRPr="00E058FF">
              <w:rPr>
                <w:sz w:val="20"/>
              </w:rPr>
              <w:t>2009</w:t>
            </w:r>
          </w:p>
        </w:tc>
        <w:tc>
          <w:tcPr>
            <w:tcW w:w="1296" w:type="dxa"/>
            <w:noWrap/>
            <w:hideMark/>
          </w:tcPr>
          <w:p w:rsidR="00596D1E" w:rsidRPr="00E058FF" w:rsidRDefault="00596D1E" w:rsidP="00D1334F">
            <w:pPr>
              <w:cnfStyle w:val="100000000000" w:firstRow="1" w:lastRow="0" w:firstColumn="0" w:lastColumn="0" w:oddVBand="0" w:evenVBand="0" w:oddHBand="0" w:evenHBand="0" w:firstRowFirstColumn="0" w:firstRowLastColumn="0" w:lastRowFirstColumn="0" w:lastRowLastColumn="0"/>
              <w:rPr>
                <w:sz w:val="20"/>
              </w:rPr>
            </w:pPr>
            <w:r w:rsidRPr="00E058FF">
              <w:rPr>
                <w:sz w:val="20"/>
              </w:rPr>
              <w:t>2010</w:t>
            </w:r>
          </w:p>
        </w:tc>
        <w:tc>
          <w:tcPr>
            <w:tcW w:w="1296" w:type="dxa"/>
            <w:noWrap/>
            <w:hideMark/>
          </w:tcPr>
          <w:p w:rsidR="00596D1E" w:rsidRPr="00E058FF" w:rsidRDefault="00596D1E" w:rsidP="00D1334F">
            <w:pPr>
              <w:cnfStyle w:val="100000000000" w:firstRow="1" w:lastRow="0" w:firstColumn="0" w:lastColumn="0" w:oddVBand="0" w:evenVBand="0" w:oddHBand="0" w:evenHBand="0" w:firstRowFirstColumn="0" w:firstRowLastColumn="0" w:lastRowFirstColumn="0" w:lastRowLastColumn="0"/>
              <w:rPr>
                <w:sz w:val="20"/>
              </w:rPr>
            </w:pPr>
            <w:r w:rsidRPr="00E058FF">
              <w:rPr>
                <w:sz w:val="20"/>
              </w:rPr>
              <w:t>2011</w:t>
            </w:r>
          </w:p>
        </w:tc>
        <w:tc>
          <w:tcPr>
            <w:tcW w:w="1296" w:type="dxa"/>
            <w:noWrap/>
            <w:hideMark/>
          </w:tcPr>
          <w:p w:rsidR="00596D1E" w:rsidRPr="00E058FF" w:rsidRDefault="00596D1E" w:rsidP="00D1334F">
            <w:pPr>
              <w:cnfStyle w:val="100000000000" w:firstRow="1" w:lastRow="0" w:firstColumn="0" w:lastColumn="0" w:oddVBand="0" w:evenVBand="0" w:oddHBand="0" w:evenHBand="0" w:firstRowFirstColumn="0" w:firstRowLastColumn="0" w:lastRowFirstColumn="0" w:lastRowLastColumn="0"/>
              <w:rPr>
                <w:sz w:val="20"/>
              </w:rPr>
            </w:pPr>
            <w:r w:rsidRPr="00E058FF">
              <w:rPr>
                <w:sz w:val="20"/>
              </w:rPr>
              <w:t>2012</w:t>
            </w:r>
          </w:p>
        </w:tc>
      </w:tr>
      <w:tr w:rsidR="00596D1E" w:rsidRPr="00665542" w:rsidTr="00E058F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36" w:type="dxa"/>
            <w:vMerge w:val="restart"/>
            <w:hideMark/>
          </w:tcPr>
          <w:p w:rsidR="00596D1E" w:rsidRPr="00E058FF" w:rsidRDefault="00596D1E" w:rsidP="00D1334F">
            <w:pPr>
              <w:rPr>
                <w:sz w:val="20"/>
              </w:rPr>
            </w:pPr>
            <w:r w:rsidRPr="00E058FF">
              <w:rPr>
                <w:sz w:val="20"/>
              </w:rPr>
              <w:t>Invested Capital Turnover</w:t>
            </w:r>
            <w:r w:rsidRPr="00E058FF">
              <w:rPr>
                <w:sz w:val="20"/>
              </w:rPr>
              <w:br/>
              <w:t>(Times)</w:t>
            </w:r>
          </w:p>
        </w:tc>
        <w:tc>
          <w:tcPr>
            <w:tcW w:w="1072"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b/>
                <w:bCs/>
                <w:sz w:val="20"/>
              </w:rPr>
            </w:pPr>
            <w:r w:rsidRPr="00E058FF">
              <w:rPr>
                <w:b/>
                <w:bCs/>
                <w:sz w:val="20"/>
              </w:rPr>
              <w:t>TELUS</w:t>
            </w:r>
          </w:p>
        </w:tc>
        <w:tc>
          <w:tcPr>
            <w:tcW w:w="1296"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sz w:val="20"/>
              </w:rPr>
            </w:pPr>
            <w:r w:rsidRPr="00E058FF">
              <w:rPr>
                <w:sz w:val="20"/>
              </w:rPr>
              <w:t>0.704</w:t>
            </w:r>
          </w:p>
        </w:tc>
        <w:tc>
          <w:tcPr>
            <w:tcW w:w="1296"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sz w:val="20"/>
              </w:rPr>
            </w:pPr>
            <w:r w:rsidRPr="00E058FF">
              <w:rPr>
                <w:sz w:val="20"/>
              </w:rPr>
              <w:t>0.751</w:t>
            </w:r>
          </w:p>
        </w:tc>
        <w:tc>
          <w:tcPr>
            <w:tcW w:w="1296"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sz w:val="20"/>
              </w:rPr>
            </w:pPr>
            <w:r w:rsidRPr="00E058FF">
              <w:rPr>
                <w:sz w:val="20"/>
              </w:rPr>
              <w:t>0.793</w:t>
            </w:r>
          </w:p>
        </w:tc>
        <w:tc>
          <w:tcPr>
            <w:tcW w:w="1296"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sz w:val="20"/>
              </w:rPr>
            </w:pPr>
            <w:r w:rsidRPr="00E058FF">
              <w:rPr>
                <w:sz w:val="20"/>
              </w:rPr>
              <w:t>0.810</w:t>
            </w:r>
          </w:p>
        </w:tc>
      </w:tr>
      <w:tr w:rsidR="00596D1E" w:rsidRPr="00665542" w:rsidTr="00E058FF">
        <w:trPr>
          <w:trHeight w:val="20"/>
          <w:jc w:val="center"/>
        </w:trPr>
        <w:tc>
          <w:tcPr>
            <w:cnfStyle w:val="001000000000" w:firstRow="0" w:lastRow="0" w:firstColumn="1" w:lastColumn="0" w:oddVBand="0" w:evenVBand="0" w:oddHBand="0" w:evenHBand="0" w:firstRowFirstColumn="0" w:firstRowLastColumn="0" w:lastRowFirstColumn="0" w:lastRowLastColumn="0"/>
            <w:tcW w:w="2736" w:type="dxa"/>
            <w:vMerge/>
            <w:hideMark/>
          </w:tcPr>
          <w:p w:rsidR="00596D1E" w:rsidRPr="00E058FF" w:rsidRDefault="00596D1E" w:rsidP="00D1334F">
            <w:pPr>
              <w:rPr>
                <w:sz w:val="20"/>
              </w:rPr>
            </w:pPr>
          </w:p>
        </w:tc>
        <w:tc>
          <w:tcPr>
            <w:tcW w:w="1072"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b/>
                <w:bCs/>
                <w:sz w:val="20"/>
              </w:rPr>
            </w:pPr>
            <w:r w:rsidRPr="00E058FF">
              <w:rPr>
                <w:b/>
                <w:bCs/>
                <w:sz w:val="20"/>
              </w:rPr>
              <w:t>ROGERS</w:t>
            </w:r>
          </w:p>
        </w:tc>
        <w:tc>
          <w:tcPr>
            <w:tcW w:w="1296"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sz w:val="20"/>
              </w:rPr>
            </w:pPr>
            <w:r w:rsidRPr="00E058FF">
              <w:rPr>
                <w:sz w:val="20"/>
              </w:rPr>
              <w:t>0.921</w:t>
            </w:r>
          </w:p>
        </w:tc>
        <w:tc>
          <w:tcPr>
            <w:tcW w:w="1296"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sz w:val="20"/>
              </w:rPr>
            </w:pPr>
            <w:r w:rsidRPr="00E058FF">
              <w:rPr>
                <w:sz w:val="20"/>
              </w:rPr>
              <w:t>0.978</w:t>
            </w:r>
          </w:p>
        </w:tc>
        <w:tc>
          <w:tcPr>
            <w:tcW w:w="1296"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sz w:val="20"/>
              </w:rPr>
            </w:pPr>
            <w:r w:rsidRPr="00E058FF">
              <w:rPr>
                <w:sz w:val="20"/>
              </w:rPr>
              <w:t>0.793</w:t>
            </w:r>
          </w:p>
        </w:tc>
        <w:tc>
          <w:tcPr>
            <w:tcW w:w="1296"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sz w:val="20"/>
              </w:rPr>
            </w:pPr>
            <w:r w:rsidRPr="00E058FF">
              <w:rPr>
                <w:sz w:val="20"/>
              </w:rPr>
              <w:t>0.879</w:t>
            </w:r>
          </w:p>
        </w:tc>
      </w:tr>
      <w:tr w:rsidR="00596D1E" w:rsidRPr="00665542" w:rsidTr="00E058F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36" w:type="dxa"/>
            <w:vMerge w:val="restart"/>
            <w:hideMark/>
          </w:tcPr>
          <w:p w:rsidR="00596D1E" w:rsidRPr="00E058FF" w:rsidRDefault="00596D1E" w:rsidP="00D1334F">
            <w:pPr>
              <w:rPr>
                <w:sz w:val="20"/>
              </w:rPr>
            </w:pPr>
            <w:r w:rsidRPr="00E058FF">
              <w:rPr>
                <w:sz w:val="20"/>
              </w:rPr>
              <w:t>Equity Turnover</w:t>
            </w:r>
            <w:r w:rsidRPr="00E058FF">
              <w:rPr>
                <w:sz w:val="20"/>
              </w:rPr>
              <w:br/>
              <w:t>(Times)</w:t>
            </w:r>
          </w:p>
        </w:tc>
        <w:tc>
          <w:tcPr>
            <w:tcW w:w="1072"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b/>
                <w:bCs/>
                <w:sz w:val="20"/>
              </w:rPr>
            </w:pPr>
            <w:r w:rsidRPr="00E058FF">
              <w:rPr>
                <w:b/>
                <w:bCs/>
                <w:sz w:val="20"/>
              </w:rPr>
              <w:t>TELUS</w:t>
            </w:r>
          </w:p>
        </w:tc>
        <w:tc>
          <w:tcPr>
            <w:tcW w:w="1296"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sz w:val="20"/>
              </w:rPr>
            </w:pPr>
            <w:r w:rsidRPr="00E058FF">
              <w:rPr>
                <w:sz w:val="20"/>
              </w:rPr>
              <w:t>1.272</w:t>
            </w:r>
          </w:p>
        </w:tc>
        <w:tc>
          <w:tcPr>
            <w:tcW w:w="1296"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sz w:val="20"/>
              </w:rPr>
            </w:pPr>
            <w:r w:rsidRPr="00E058FF">
              <w:rPr>
                <w:sz w:val="20"/>
              </w:rPr>
              <w:t>1.256</w:t>
            </w:r>
          </w:p>
        </w:tc>
        <w:tc>
          <w:tcPr>
            <w:tcW w:w="1296"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sz w:val="20"/>
              </w:rPr>
            </w:pPr>
            <w:r w:rsidRPr="00E058FF">
              <w:rPr>
                <w:sz w:val="20"/>
              </w:rPr>
              <w:t>1.374</w:t>
            </w:r>
          </w:p>
        </w:tc>
        <w:tc>
          <w:tcPr>
            <w:tcW w:w="1296"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sz w:val="20"/>
              </w:rPr>
            </w:pPr>
            <w:r w:rsidRPr="00E058FF">
              <w:rPr>
                <w:sz w:val="20"/>
              </w:rPr>
              <w:t>1.412</w:t>
            </w:r>
          </w:p>
        </w:tc>
      </w:tr>
      <w:tr w:rsidR="00596D1E" w:rsidRPr="00665542" w:rsidTr="00E058FF">
        <w:trPr>
          <w:trHeight w:val="20"/>
          <w:jc w:val="center"/>
        </w:trPr>
        <w:tc>
          <w:tcPr>
            <w:cnfStyle w:val="001000000000" w:firstRow="0" w:lastRow="0" w:firstColumn="1" w:lastColumn="0" w:oddVBand="0" w:evenVBand="0" w:oddHBand="0" w:evenHBand="0" w:firstRowFirstColumn="0" w:firstRowLastColumn="0" w:lastRowFirstColumn="0" w:lastRowLastColumn="0"/>
            <w:tcW w:w="2736" w:type="dxa"/>
            <w:vMerge/>
            <w:hideMark/>
          </w:tcPr>
          <w:p w:rsidR="00596D1E" w:rsidRPr="00E058FF" w:rsidRDefault="00596D1E" w:rsidP="00D1334F">
            <w:pPr>
              <w:rPr>
                <w:sz w:val="20"/>
              </w:rPr>
            </w:pPr>
          </w:p>
        </w:tc>
        <w:tc>
          <w:tcPr>
            <w:tcW w:w="1072"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b/>
                <w:bCs/>
                <w:sz w:val="20"/>
              </w:rPr>
            </w:pPr>
            <w:r w:rsidRPr="00E058FF">
              <w:rPr>
                <w:b/>
                <w:bCs/>
                <w:sz w:val="20"/>
              </w:rPr>
              <w:t>ROGERS</w:t>
            </w:r>
          </w:p>
        </w:tc>
        <w:tc>
          <w:tcPr>
            <w:tcW w:w="1296"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sz w:val="20"/>
              </w:rPr>
            </w:pPr>
            <w:r w:rsidRPr="00E058FF">
              <w:rPr>
                <w:sz w:val="20"/>
              </w:rPr>
              <w:t>2.745</w:t>
            </w:r>
          </w:p>
        </w:tc>
        <w:tc>
          <w:tcPr>
            <w:tcW w:w="1296"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sz w:val="20"/>
              </w:rPr>
            </w:pPr>
            <w:r w:rsidRPr="00E058FF">
              <w:rPr>
                <w:sz w:val="20"/>
              </w:rPr>
              <w:t>3.229</w:t>
            </w:r>
          </w:p>
        </w:tc>
        <w:tc>
          <w:tcPr>
            <w:tcW w:w="1296"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sz w:val="20"/>
              </w:rPr>
            </w:pPr>
            <w:r w:rsidRPr="00E058FF">
              <w:rPr>
                <w:sz w:val="20"/>
              </w:rPr>
              <w:t>3.456</w:t>
            </w:r>
          </w:p>
        </w:tc>
        <w:tc>
          <w:tcPr>
            <w:tcW w:w="1296"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sz w:val="20"/>
              </w:rPr>
            </w:pPr>
            <w:r w:rsidRPr="00E058FF">
              <w:rPr>
                <w:sz w:val="20"/>
              </w:rPr>
              <w:t>3.314</w:t>
            </w:r>
          </w:p>
        </w:tc>
      </w:tr>
      <w:tr w:rsidR="00596D1E" w:rsidRPr="00665542" w:rsidTr="00E058F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36" w:type="dxa"/>
            <w:vMerge w:val="restart"/>
            <w:hideMark/>
          </w:tcPr>
          <w:p w:rsidR="00596D1E" w:rsidRPr="00E058FF" w:rsidRDefault="00596D1E" w:rsidP="00D1334F">
            <w:pPr>
              <w:rPr>
                <w:sz w:val="20"/>
              </w:rPr>
            </w:pPr>
            <w:r w:rsidRPr="00E058FF">
              <w:rPr>
                <w:sz w:val="20"/>
              </w:rPr>
              <w:t>Capital Asset Intensity</w:t>
            </w:r>
            <w:r w:rsidRPr="00E058FF">
              <w:rPr>
                <w:sz w:val="20"/>
              </w:rPr>
              <w:br/>
              <w:t>(Times)</w:t>
            </w:r>
          </w:p>
        </w:tc>
        <w:tc>
          <w:tcPr>
            <w:tcW w:w="1072"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b/>
                <w:bCs/>
                <w:sz w:val="20"/>
              </w:rPr>
            </w:pPr>
            <w:r w:rsidRPr="00E058FF">
              <w:rPr>
                <w:b/>
                <w:bCs/>
                <w:sz w:val="20"/>
              </w:rPr>
              <w:t>TELUS</w:t>
            </w:r>
          </w:p>
        </w:tc>
        <w:tc>
          <w:tcPr>
            <w:tcW w:w="1296"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sz w:val="20"/>
              </w:rPr>
            </w:pPr>
            <w:r w:rsidRPr="00E058FF">
              <w:rPr>
                <w:sz w:val="20"/>
              </w:rPr>
              <w:t>0.363</w:t>
            </w:r>
          </w:p>
        </w:tc>
        <w:tc>
          <w:tcPr>
            <w:tcW w:w="1296"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sz w:val="20"/>
              </w:rPr>
            </w:pPr>
            <w:r w:rsidRPr="00E058FF">
              <w:rPr>
                <w:sz w:val="20"/>
              </w:rPr>
              <w:t>0.359</w:t>
            </w:r>
          </w:p>
        </w:tc>
        <w:tc>
          <w:tcPr>
            <w:tcW w:w="1296"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sz w:val="20"/>
              </w:rPr>
            </w:pPr>
            <w:r w:rsidRPr="00E058FF">
              <w:rPr>
                <w:sz w:val="20"/>
              </w:rPr>
              <w:t>0.365</w:t>
            </w:r>
          </w:p>
        </w:tc>
        <w:tc>
          <w:tcPr>
            <w:tcW w:w="1296"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sz w:val="20"/>
              </w:rPr>
            </w:pPr>
            <w:r w:rsidRPr="00E058FF">
              <w:rPr>
                <w:sz w:val="20"/>
              </w:rPr>
              <w:t>0.378</w:t>
            </w:r>
          </w:p>
        </w:tc>
      </w:tr>
      <w:tr w:rsidR="00596D1E" w:rsidRPr="00665542" w:rsidTr="00E058FF">
        <w:trPr>
          <w:trHeight w:val="20"/>
          <w:jc w:val="center"/>
        </w:trPr>
        <w:tc>
          <w:tcPr>
            <w:cnfStyle w:val="001000000000" w:firstRow="0" w:lastRow="0" w:firstColumn="1" w:lastColumn="0" w:oddVBand="0" w:evenVBand="0" w:oddHBand="0" w:evenHBand="0" w:firstRowFirstColumn="0" w:firstRowLastColumn="0" w:lastRowFirstColumn="0" w:lastRowLastColumn="0"/>
            <w:tcW w:w="2736" w:type="dxa"/>
            <w:vMerge/>
            <w:hideMark/>
          </w:tcPr>
          <w:p w:rsidR="00596D1E" w:rsidRPr="00E058FF" w:rsidRDefault="00596D1E" w:rsidP="00D1334F">
            <w:pPr>
              <w:rPr>
                <w:sz w:val="20"/>
              </w:rPr>
            </w:pPr>
          </w:p>
        </w:tc>
        <w:tc>
          <w:tcPr>
            <w:tcW w:w="1072"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b/>
                <w:bCs/>
                <w:sz w:val="20"/>
              </w:rPr>
            </w:pPr>
            <w:r w:rsidRPr="00E058FF">
              <w:rPr>
                <w:b/>
                <w:bCs/>
                <w:sz w:val="20"/>
              </w:rPr>
              <w:t>ROGERS</w:t>
            </w:r>
          </w:p>
        </w:tc>
        <w:tc>
          <w:tcPr>
            <w:tcW w:w="1296"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sz w:val="20"/>
              </w:rPr>
            </w:pPr>
            <w:r w:rsidRPr="00E058FF">
              <w:rPr>
                <w:sz w:val="20"/>
              </w:rPr>
              <w:t>0.603</w:t>
            </w:r>
          </w:p>
        </w:tc>
        <w:tc>
          <w:tcPr>
            <w:tcW w:w="1296"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sz w:val="20"/>
              </w:rPr>
            </w:pPr>
            <w:r w:rsidRPr="00E058FF">
              <w:rPr>
                <w:sz w:val="20"/>
              </w:rPr>
              <w:t>0.575</w:t>
            </w:r>
          </w:p>
        </w:tc>
        <w:tc>
          <w:tcPr>
            <w:tcW w:w="1296"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sz w:val="20"/>
              </w:rPr>
            </w:pPr>
            <w:r w:rsidRPr="00E058FF">
              <w:rPr>
                <w:sz w:val="20"/>
              </w:rPr>
              <w:t>0.532</w:t>
            </w:r>
          </w:p>
        </w:tc>
        <w:tc>
          <w:tcPr>
            <w:tcW w:w="1296"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sz w:val="20"/>
              </w:rPr>
            </w:pPr>
            <w:r w:rsidRPr="00E058FF">
              <w:rPr>
                <w:sz w:val="20"/>
              </w:rPr>
              <w:t>0.502</w:t>
            </w:r>
          </w:p>
        </w:tc>
      </w:tr>
      <w:tr w:rsidR="00596D1E" w:rsidRPr="00665542" w:rsidTr="00E058F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36" w:type="dxa"/>
            <w:vMerge w:val="restart"/>
            <w:hideMark/>
          </w:tcPr>
          <w:p w:rsidR="00596D1E" w:rsidRPr="00E058FF" w:rsidRDefault="00596D1E" w:rsidP="00D1334F">
            <w:pPr>
              <w:rPr>
                <w:sz w:val="20"/>
              </w:rPr>
            </w:pPr>
            <w:r w:rsidRPr="00E058FF">
              <w:rPr>
                <w:sz w:val="20"/>
              </w:rPr>
              <w:t>Working Capital Turnover</w:t>
            </w:r>
            <w:r w:rsidRPr="00E058FF">
              <w:rPr>
                <w:sz w:val="20"/>
              </w:rPr>
              <w:br/>
              <w:t>(Times)</w:t>
            </w:r>
          </w:p>
        </w:tc>
        <w:tc>
          <w:tcPr>
            <w:tcW w:w="1072"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b/>
                <w:bCs/>
                <w:sz w:val="20"/>
              </w:rPr>
            </w:pPr>
            <w:r w:rsidRPr="00E058FF">
              <w:rPr>
                <w:b/>
                <w:bCs/>
                <w:sz w:val="20"/>
              </w:rPr>
              <w:t>TELUS</w:t>
            </w:r>
          </w:p>
        </w:tc>
        <w:tc>
          <w:tcPr>
            <w:tcW w:w="1296"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sz w:val="20"/>
              </w:rPr>
            </w:pPr>
            <w:r w:rsidRPr="00E058FF">
              <w:rPr>
                <w:sz w:val="20"/>
              </w:rPr>
              <w:t>-5.229</w:t>
            </w:r>
          </w:p>
        </w:tc>
        <w:tc>
          <w:tcPr>
            <w:tcW w:w="1296"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sz w:val="20"/>
              </w:rPr>
            </w:pPr>
            <w:r w:rsidRPr="00E058FF">
              <w:rPr>
                <w:sz w:val="20"/>
              </w:rPr>
              <w:t>-4.234</w:t>
            </w:r>
          </w:p>
        </w:tc>
        <w:tc>
          <w:tcPr>
            <w:tcW w:w="1296"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sz w:val="20"/>
              </w:rPr>
            </w:pPr>
            <w:r w:rsidRPr="00E058FF">
              <w:rPr>
                <w:sz w:val="20"/>
              </w:rPr>
              <w:t>-5.755</w:t>
            </w:r>
          </w:p>
        </w:tc>
        <w:tc>
          <w:tcPr>
            <w:tcW w:w="1296"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sz w:val="20"/>
              </w:rPr>
            </w:pPr>
            <w:r w:rsidRPr="00E058FF">
              <w:rPr>
                <w:sz w:val="20"/>
              </w:rPr>
              <w:t>-8.284</w:t>
            </w:r>
          </w:p>
        </w:tc>
      </w:tr>
      <w:tr w:rsidR="00596D1E" w:rsidRPr="00665542" w:rsidTr="00E058FF">
        <w:trPr>
          <w:trHeight w:val="20"/>
          <w:jc w:val="center"/>
        </w:trPr>
        <w:tc>
          <w:tcPr>
            <w:cnfStyle w:val="001000000000" w:firstRow="0" w:lastRow="0" w:firstColumn="1" w:lastColumn="0" w:oddVBand="0" w:evenVBand="0" w:oddHBand="0" w:evenHBand="0" w:firstRowFirstColumn="0" w:firstRowLastColumn="0" w:lastRowFirstColumn="0" w:lastRowLastColumn="0"/>
            <w:tcW w:w="2736" w:type="dxa"/>
            <w:vMerge/>
            <w:hideMark/>
          </w:tcPr>
          <w:p w:rsidR="00596D1E" w:rsidRPr="00E058FF" w:rsidRDefault="00596D1E" w:rsidP="00D1334F">
            <w:pPr>
              <w:rPr>
                <w:sz w:val="20"/>
              </w:rPr>
            </w:pPr>
          </w:p>
        </w:tc>
        <w:tc>
          <w:tcPr>
            <w:tcW w:w="1072"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b/>
                <w:bCs/>
                <w:sz w:val="20"/>
              </w:rPr>
            </w:pPr>
            <w:r w:rsidRPr="00E058FF">
              <w:rPr>
                <w:b/>
                <w:bCs/>
                <w:sz w:val="20"/>
              </w:rPr>
              <w:t>ROGERS</w:t>
            </w:r>
          </w:p>
        </w:tc>
        <w:tc>
          <w:tcPr>
            <w:tcW w:w="1296"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sz w:val="20"/>
              </w:rPr>
            </w:pPr>
            <w:r w:rsidRPr="00E058FF">
              <w:rPr>
                <w:sz w:val="20"/>
              </w:rPr>
              <w:t>-23.795</w:t>
            </w:r>
          </w:p>
        </w:tc>
        <w:tc>
          <w:tcPr>
            <w:tcW w:w="1296"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sz w:val="20"/>
              </w:rPr>
            </w:pPr>
            <w:r w:rsidRPr="00E058FF">
              <w:rPr>
                <w:sz w:val="20"/>
              </w:rPr>
              <w:t>-11.305</w:t>
            </w:r>
          </w:p>
        </w:tc>
        <w:tc>
          <w:tcPr>
            <w:tcW w:w="1296"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sz w:val="20"/>
              </w:rPr>
            </w:pPr>
            <w:r w:rsidRPr="00E058FF">
              <w:rPr>
                <w:sz w:val="20"/>
              </w:rPr>
              <w:t>-19.381</w:t>
            </w:r>
          </w:p>
        </w:tc>
        <w:tc>
          <w:tcPr>
            <w:tcW w:w="1296"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sz w:val="20"/>
              </w:rPr>
            </w:pPr>
            <w:r w:rsidRPr="00E058FF">
              <w:rPr>
                <w:sz w:val="20"/>
              </w:rPr>
              <w:t>-15.987</w:t>
            </w:r>
          </w:p>
        </w:tc>
      </w:tr>
      <w:tr w:rsidR="00596D1E" w:rsidRPr="00665542" w:rsidTr="00E058F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36" w:type="dxa"/>
            <w:vMerge w:val="restart"/>
            <w:hideMark/>
          </w:tcPr>
          <w:p w:rsidR="00596D1E" w:rsidRPr="00E058FF" w:rsidRDefault="00596D1E" w:rsidP="00D1334F">
            <w:pPr>
              <w:rPr>
                <w:sz w:val="20"/>
              </w:rPr>
            </w:pPr>
            <w:r w:rsidRPr="00E058FF">
              <w:rPr>
                <w:sz w:val="20"/>
              </w:rPr>
              <w:t xml:space="preserve">Inventory Turnover </w:t>
            </w:r>
            <w:r w:rsidRPr="00E058FF">
              <w:rPr>
                <w:sz w:val="20"/>
              </w:rPr>
              <w:br/>
              <w:t>(Times)</w:t>
            </w:r>
          </w:p>
        </w:tc>
        <w:tc>
          <w:tcPr>
            <w:tcW w:w="1072"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b/>
                <w:bCs/>
                <w:sz w:val="20"/>
              </w:rPr>
            </w:pPr>
            <w:r w:rsidRPr="00E058FF">
              <w:rPr>
                <w:b/>
                <w:bCs/>
                <w:sz w:val="20"/>
              </w:rPr>
              <w:t>TELUS</w:t>
            </w:r>
          </w:p>
        </w:tc>
        <w:tc>
          <w:tcPr>
            <w:tcW w:w="1296"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sz w:val="20"/>
              </w:rPr>
            </w:pPr>
            <w:r w:rsidRPr="00E058FF">
              <w:rPr>
                <w:sz w:val="20"/>
              </w:rPr>
              <w:t>12.141</w:t>
            </w:r>
          </w:p>
        </w:tc>
        <w:tc>
          <w:tcPr>
            <w:tcW w:w="1296"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sz w:val="20"/>
              </w:rPr>
            </w:pPr>
            <w:r w:rsidRPr="00E058FF">
              <w:rPr>
                <w:sz w:val="20"/>
              </w:rPr>
              <w:t>14.968</w:t>
            </w:r>
          </w:p>
        </w:tc>
        <w:tc>
          <w:tcPr>
            <w:tcW w:w="1296"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sz w:val="20"/>
              </w:rPr>
            </w:pPr>
            <w:r w:rsidRPr="00E058FF">
              <w:rPr>
                <w:sz w:val="20"/>
              </w:rPr>
              <w:t>13.388</w:t>
            </w:r>
          </w:p>
        </w:tc>
        <w:tc>
          <w:tcPr>
            <w:tcW w:w="1296" w:type="dxa"/>
            <w:noWrap/>
            <w:hideMark/>
          </w:tcPr>
          <w:p w:rsidR="00596D1E" w:rsidRPr="00E058FF" w:rsidRDefault="00596D1E" w:rsidP="00D1334F">
            <w:pPr>
              <w:cnfStyle w:val="000000100000" w:firstRow="0" w:lastRow="0" w:firstColumn="0" w:lastColumn="0" w:oddVBand="0" w:evenVBand="0" w:oddHBand="1" w:evenHBand="0" w:firstRowFirstColumn="0" w:firstRowLastColumn="0" w:lastRowFirstColumn="0" w:lastRowLastColumn="0"/>
              <w:rPr>
                <w:sz w:val="20"/>
              </w:rPr>
            </w:pPr>
            <w:r w:rsidRPr="00E058FF">
              <w:rPr>
                <w:sz w:val="20"/>
              </w:rPr>
              <w:t>13.771</w:t>
            </w:r>
          </w:p>
        </w:tc>
      </w:tr>
      <w:tr w:rsidR="00596D1E" w:rsidRPr="00665542" w:rsidTr="00E058FF">
        <w:trPr>
          <w:trHeight w:val="20"/>
          <w:jc w:val="center"/>
        </w:trPr>
        <w:tc>
          <w:tcPr>
            <w:cnfStyle w:val="001000000000" w:firstRow="0" w:lastRow="0" w:firstColumn="1" w:lastColumn="0" w:oddVBand="0" w:evenVBand="0" w:oddHBand="0" w:evenHBand="0" w:firstRowFirstColumn="0" w:firstRowLastColumn="0" w:lastRowFirstColumn="0" w:lastRowLastColumn="0"/>
            <w:tcW w:w="2736" w:type="dxa"/>
            <w:vMerge/>
            <w:hideMark/>
          </w:tcPr>
          <w:p w:rsidR="00596D1E" w:rsidRPr="00E058FF" w:rsidRDefault="00596D1E" w:rsidP="00D1334F">
            <w:pPr>
              <w:rPr>
                <w:sz w:val="20"/>
              </w:rPr>
            </w:pPr>
          </w:p>
        </w:tc>
        <w:tc>
          <w:tcPr>
            <w:tcW w:w="1072"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b/>
                <w:bCs/>
                <w:sz w:val="20"/>
              </w:rPr>
            </w:pPr>
            <w:r w:rsidRPr="00E058FF">
              <w:rPr>
                <w:b/>
                <w:bCs/>
                <w:sz w:val="20"/>
              </w:rPr>
              <w:t>ROGERS</w:t>
            </w:r>
          </w:p>
        </w:tc>
        <w:tc>
          <w:tcPr>
            <w:tcW w:w="1296"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sz w:val="20"/>
              </w:rPr>
            </w:pPr>
            <w:r w:rsidRPr="00E058FF">
              <w:rPr>
                <w:sz w:val="20"/>
              </w:rPr>
              <w:t>8.846</w:t>
            </w:r>
          </w:p>
        </w:tc>
        <w:tc>
          <w:tcPr>
            <w:tcW w:w="1296"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sz w:val="20"/>
              </w:rPr>
            </w:pPr>
            <w:r w:rsidRPr="00E058FF">
              <w:rPr>
                <w:sz w:val="20"/>
              </w:rPr>
              <w:t>40.924</w:t>
            </w:r>
          </w:p>
        </w:tc>
        <w:tc>
          <w:tcPr>
            <w:tcW w:w="1296"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sz w:val="20"/>
              </w:rPr>
            </w:pPr>
            <w:r w:rsidRPr="00E058FF">
              <w:rPr>
                <w:sz w:val="20"/>
              </w:rPr>
              <w:t>37.238</w:t>
            </w:r>
          </w:p>
        </w:tc>
        <w:tc>
          <w:tcPr>
            <w:tcW w:w="1296" w:type="dxa"/>
            <w:noWrap/>
            <w:hideMark/>
          </w:tcPr>
          <w:p w:rsidR="00596D1E" w:rsidRPr="00E058FF" w:rsidRDefault="00596D1E" w:rsidP="00D1334F">
            <w:pPr>
              <w:cnfStyle w:val="000000000000" w:firstRow="0" w:lastRow="0" w:firstColumn="0" w:lastColumn="0" w:oddVBand="0" w:evenVBand="0" w:oddHBand="0" w:evenHBand="0" w:firstRowFirstColumn="0" w:firstRowLastColumn="0" w:lastRowFirstColumn="0" w:lastRowLastColumn="0"/>
              <w:rPr>
                <w:sz w:val="20"/>
              </w:rPr>
            </w:pPr>
            <w:r w:rsidRPr="00E058FF">
              <w:rPr>
                <w:sz w:val="20"/>
              </w:rPr>
              <w:t>26.379</w:t>
            </w:r>
          </w:p>
        </w:tc>
      </w:tr>
    </w:tbl>
    <w:p w:rsidR="00596D1E" w:rsidRPr="00D1334F" w:rsidRDefault="00596D1E" w:rsidP="00D1334F">
      <w:pPr>
        <w:pStyle w:val="Caption"/>
        <w:rPr>
          <w:color w:val="1F497D" w:themeColor="text2"/>
        </w:rPr>
      </w:pPr>
      <w:r w:rsidRPr="00D1334F">
        <w:rPr>
          <w:color w:val="1F497D" w:themeColor="text2"/>
        </w:rPr>
        <w:t>Table 5</w:t>
      </w:r>
      <w:r w:rsidR="00621267">
        <w:rPr>
          <w:color w:val="1F497D" w:themeColor="text2"/>
        </w:rPr>
        <w:t xml:space="preserve"> -</w:t>
      </w:r>
      <w:r w:rsidRPr="00D1334F">
        <w:rPr>
          <w:color w:val="1F497D" w:themeColor="text2"/>
        </w:rPr>
        <w:t xml:space="preserve"> Return on investments for Telus and Rogers</w:t>
      </w:r>
    </w:p>
    <w:p w:rsidR="00596D1E" w:rsidRPr="00C67C6D" w:rsidRDefault="00596D1E" w:rsidP="00D1334F">
      <w:r w:rsidRPr="00C67C6D">
        <w:t>I</w:t>
      </w:r>
      <w:r>
        <w:t>nterestingly, we note that the working capital t</w:t>
      </w:r>
      <w:r w:rsidRPr="00C67C6D">
        <w:t>urnover values are all</w:t>
      </w:r>
      <w:r>
        <w:t xml:space="preserve"> negative </w:t>
      </w:r>
      <w:r w:rsidR="00E67C9E">
        <w:t>values</w:t>
      </w:r>
      <w:r>
        <w:t>. Because the working c</w:t>
      </w:r>
      <w:r w:rsidRPr="00C67C6D">
        <w:t>apital is equal to the current asset less the current liabilities, we</w:t>
      </w:r>
      <w:r>
        <w:t xml:space="preserve"> can</w:t>
      </w:r>
      <w:r w:rsidRPr="00C67C6D">
        <w:t xml:space="preserve"> infer that both Rogers and Telus have more current liabilities than current asset</w:t>
      </w:r>
      <w:r w:rsidR="00E67C9E">
        <w:t>s</w:t>
      </w:r>
      <w:r w:rsidRPr="00C67C6D">
        <w:t xml:space="preserve">. </w:t>
      </w:r>
      <w:r w:rsidR="00E67C9E">
        <w:t>While this might be a red flag in certain industries, it is not uncommon i</w:t>
      </w:r>
      <w:r w:rsidRPr="00C67C6D">
        <w:t>n the telecommunications industry</w:t>
      </w:r>
      <w:r w:rsidR="00E67C9E">
        <w:t>. This may be explained by</w:t>
      </w:r>
      <w:r w:rsidRPr="00C67C6D">
        <w:t xml:space="preserve"> companies generally colle</w:t>
      </w:r>
      <w:r>
        <w:t>c</w:t>
      </w:r>
      <w:r w:rsidRPr="00C67C6D">
        <w:t>t</w:t>
      </w:r>
      <w:r w:rsidR="00E67C9E">
        <w:t>ing</w:t>
      </w:r>
      <w:r w:rsidRPr="00C67C6D">
        <w:t xml:space="preserve"> their money within rapid subscription cycles while their size enables them to stretch out their own pay</w:t>
      </w:r>
      <w:r>
        <w:t>ment cycles beyond the customer</w:t>
      </w:r>
      <w:r w:rsidRPr="00C67C6D">
        <w:t>s</w:t>
      </w:r>
      <w:r>
        <w:t>’</w:t>
      </w:r>
      <w:r w:rsidRPr="00C67C6D">
        <w:t xml:space="preserve"> subscription cycles. Additionally, most of their capital costs, </w:t>
      </w:r>
      <w:r w:rsidR="00E67C9E">
        <w:t>such as</w:t>
      </w:r>
      <w:r w:rsidRPr="00C67C6D">
        <w:t xml:space="preserve"> infrastructure and license fees, </w:t>
      </w:r>
      <w:r w:rsidR="00E67C9E">
        <w:t>must be</w:t>
      </w:r>
      <w:r w:rsidRPr="00C67C6D">
        <w:t xml:space="preserve"> </w:t>
      </w:r>
      <w:r w:rsidR="00E67C9E">
        <w:t>paid up-front</w:t>
      </w:r>
      <w:r w:rsidRPr="00C67C6D">
        <w:t xml:space="preserve">. </w:t>
      </w:r>
    </w:p>
    <w:p w:rsidR="00596D1E" w:rsidRDefault="003943FD" w:rsidP="00A3064A">
      <w:pPr>
        <w:pStyle w:val="Heading3"/>
      </w:pPr>
      <w:bookmarkStart w:id="18" w:name="_Toc374518264"/>
      <w:r>
        <w:lastRenderedPageBreak/>
        <w:t>Operating Cycle P</w:t>
      </w:r>
      <w:r w:rsidR="00596D1E" w:rsidRPr="00F571A3">
        <w:t>erformance</w:t>
      </w:r>
      <w:bookmarkEnd w:id="18"/>
    </w:p>
    <w:p w:rsidR="00596D1E" w:rsidRDefault="00A3064A" w:rsidP="00A3064A">
      <w:r>
        <w:t>This section on operating performance examines</w:t>
      </w:r>
      <w:r w:rsidR="00596D1E">
        <w:t xml:space="preserve"> the ability of Rogers and Telus to properly manage their cash conversion cycles</w:t>
      </w:r>
      <w:r>
        <w:t>, an indication of</w:t>
      </w:r>
      <w:r w:rsidR="00596D1E">
        <w:t xml:space="preserve"> whether the firms have healthy cash management policies.</w:t>
      </w:r>
    </w:p>
    <w:p w:rsidR="00A3064A" w:rsidRDefault="00596D1E" w:rsidP="00A3064A">
      <w:r>
        <w:tab/>
        <w:t>Table 6 shows the main applicable indicators: the Day’s Cash, Day’s Payable, Day’s Receivable, Day’s Inventory and the resulting Cash Conversion Cycle.</w:t>
      </w:r>
    </w:p>
    <w:p w:rsidR="00E058FF" w:rsidRPr="008934CC" w:rsidRDefault="00E058FF" w:rsidP="00A3064A"/>
    <w:tbl>
      <w:tblPr>
        <w:tblStyle w:val="LightList-Accent1"/>
        <w:tblW w:w="8838" w:type="dxa"/>
        <w:jc w:val="center"/>
        <w:tblLook w:val="04A0" w:firstRow="1" w:lastRow="0" w:firstColumn="1" w:lastColumn="0" w:noHBand="0" w:noVBand="1"/>
      </w:tblPr>
      <w:tblGrid>
        <w:gridCol w:w="2718"/>
        <w:gridCol w:w="1008"/>
        <w:gridCol w:w="1242"/>
        <w:gridCol w:w="1350"/>
        <w:gridCol w:w="1260"/>
        <w:gridCol w:w="1260"/>
      </w:tblGrid>
      <w:tr w:rsidR="00596D1E" w:rsidRPr="005F2941" w:rsidTr="00A3064A">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18" w:type="dxa"/>
            <w:noWrap/>
            <w:hideMark/>
          </w:tcPr>
          <w:p w:rsidR="00596D1E" w:rsidRPr="00A3064A" w:rsidRDefault="00596D1E" w:rsidP="00A3064A">
            <w:pPr>
              <w:jc w:val="center"/>
              <w:rPr>
                <w:sz w:val="18"/>
              </w:rPr>
            </w:pPr>
            <w:r w:rsidRPr="00A3064A">
              <w:rPr>
                <w:sz w:val="18"/>
              </w:rPr>
              <w:t>INDEX</w:t>
            </w:r>
          </w:p>
        </w:tc>
        <w:tc>
          <w:tcPr>
            <w:tcW w:w="1008" w:type="dxa"/>
            <w:noWrap/>
            <w:hideMark/>
          </w:tcPr>
          <w:p w:rsidR="00596D1E" w:rsidRPr="00A3064A" w:rsidRDefault="00596D1E" w:rsidP="00A3064A">
            <w:pPr>
              <w:jc w:val="center"/>
              <w:cnfStyle w:val="100000000000" w:firstRow="1" w:lastRow="0" w:firstColumn="0" w:lastColumn="0" w:oddVBand="0" w:evenVBand="0" w:oddHBand="0" w:evenHBand="0" w:firstRowFirstColumn="0" w:firstRowLastColumn="0" w:lastRowFirstColumn="0" w:lastRowLastColumn="0"/>
              <w:rPr>
                <w:sz w:val="18"/>
              </w:rPr>
            </w:pPr>
          </w:p>
        </w:tc>
        <w:tc>
          <w:tcPr>
            <w:tcW w:w="1242" w:type="dxa"/>
            <w:noWrap/>
            <w:hideMark/>
          </w:tcPr>
          <w:p w:rsidR="00596D1E" w:rsidRPr="00A3064A" w:rsidRDefault="00596D1E" w:rsidP="00A3064A">
            <w:pPr>
              <w:jc w:val="center"/>
              <w:cnfStyle w:val="100000000000" w:firstRow="1" w:lastRow="0" w:firstColumn="0" w:lastColumn="0" w:oddVBand="0" w:evenVBand="0" w:oddHBand="0" w:evenHBand="0" w:firstRowFirstColumn="0" w:firstRowLastColumn="0" w:lastRowFirstColumn="0" w:lastRowLastColumn="0"/>
              <w:rPr>
                <w:sz w:val="18"/>
              </w:rPr>
            </w:pPr>
            <w:r w:rsidRPr="00A3064A">
              <w:rPr>
                <w:sz w:val="18"/>
              </w:rPr>
              <w:t>2009</w:t>
            </w:r>
          </w:p>
        </w:tc>
        <w:tc>
          <w:tcPr>
            <w:tcW w:w="1350" w:type="dxa"/>
            <w:noWrap/>
            <w:hideMark/>
          </w:tcPr>
          <w:p w:rsidR="00596D1E" w:rsidRPr="00A3064A" w:rsidRDefault="00596D1E" w:rsidP="00A3064A">
            <w:pPr>
              <w:jc w:val="center"/>
              <w:cnfStyle w:val="100000000000" w:firstRow="1" w:lastRow="0" w:firstColumn="0" w:lastColumn="0" w:oddVBand="0" w:evenVBand="0" w:oddHBand="0" w:evenHBand="0" w:firstRowFirstColumn="0" w:firstRowLastColumn="0" w:lastRowFirstColumn="0" w:lastRowLastColumn="0"/>
              <w:rPr>
                <w:sz w:val="18"/>
              </w:rPr>
            </w:pPr>
            <w:r w:rsidRPr="00A3064A">
              <w:rPr>
                <w:sz w:val="18"/>
              </w:rPr>
              <w:t>2010</w:t>
            </w:r>
          </w:p>
        </w:tc>
        <w:tc>
          <w:tcPr>
            <w:tcW w:w="1260" w:type="dxa"/>
            <w:noWrap/>
            <w:hideMark/>
          </w:tcPr>
          <w:p w:rsidR="00596D1E" w:rsidRPr="00A3064A" w:rsidRDefault="00596D1E" w:rsidP="00A3064A">
            <w:pPr>
              <w:jc w:val="center"/>
              <w:cnfStyle w:val="100000000000" w:firstRow="1" w:lastRow="0" w:firstColumn="0" w:lastColumn="0" w:oddVBand="0" w:evenVBand="0" w:oddHBand="0" w:evenHBand="0" w:firstRowFirstColumn="0" w:firstRowLastColumn="0" w:lastRowFirstColumn="0" w:lastRowLastColumn="0"/>
              <w:rPr>
                <w:sz w:val="18"/>
              </w:rPr>
            </w:pPr>
            <w:r w:rsidRPr="00A3064A">
              <w:rPr>
                <w:sz w:val="18"/>
              </w:rPr>
              <w:t>2011</w:t>
            </w:r>
          </w:p>
        </w:tc>
        <w:tc>
          <w:tcPr>
            <w:tcW w:w="1260" w:type="dxa"/>
            <w:noWrap/>
            <w:hideMark/>
          </w:tcPr>
          <w:p w:rsidR="00596D1E" w:rsidRPr="00A3064A" w:rsidRDefault="00596D1E" w:rsidP="00A3064A">
            <w:pPr>
              <w:jc w:val="center"/>
              <w:cnfStyle w:val="100000000000" w:firstRow="1" w:lastRow="0" w:firstColumn="0" w:lastColumn="0" w:oddVBand="0" w:evenVBand="0" w:oddHBand="0" w:evenHBand="0" w:firstRowFirstColumn="0" w:firstRowLastColumn="0" w:lastRowFirstColumn="0" w:lastRowLastColumn="0"/>
              <w:rPr>
                <w:sz w:val="18"/>
              </w:rPr>
            </w:pPr>
            <w:r w:rsidRPr="00A3064A">
              <w:rPr>
                <w:sz w:val="18"/>
              </w:rPr>
              <w:t>2012</w:t>
            </w:r>
          </w:p>
        </w:tc>
      </w:tr>
      <w:tr w:rsidR="00596D1E" w:rsidRPr="005F2941" w:rsidTr="00A3064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18" w:type="dxa"/>
            <w:vMerge w:val="restart"/>
            <w:hideMark/>
          </w:tcPr>
          <w:p w:rsidR="00596D1E" w:rsidRPr="00A3064A" w:rsidRDefault="00596D1E" w:rsidP="00A3064A">
            <w:pPr>
              <w:jc w:val="center"/>
              <w:rPr>
                <w:sz w:val="18"/>
              </w:rPr>
            </w:pPr>
            <w:r w:rsidRPr="00A3064A">
              <w:rPr>
                <w:sz w:val="18"/>
              </w:rPr>
              <w:t>Day's Cash</w:t>
            </w:r>
            <w:r w:rsidRPr="00A3064A">
              <w:rPr>
                <w:sz w:val="18"/>
              </w:rPr>
              <w:br/>
              <w:t>(Days)</w:t>
            </w:r>
          </w:p>
        </w:tc>
        <w:tc>
          <w:tcPr>
            <w:tcW w:w="1008"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b/>
                <w:bCs/>
                <w:sz w:val="18"/>
              </w:rPr>
            </w:pPr>
            <w:r w:rsidRPr="00A3064A">
              <w:rPr>
                <w:b/>
                <w:bCs/>
                <w:sz w:val="18"/>
              </w:rPr>
              <w:t>TELUS</w:t>
            </w:r>
          </w:p>
        </w:tc>
        <w:tc>
          <w:tcPr>
            <w:tcW w:w="1242"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sz w:val="18"/>
              </w:rPr>
            </w:pPr>
            <w:r w:rsidRPr="00A3064A">
              <w:rPr>
                <w:sz w:val="18"/>
              </w:rPr>
              <w:t>2.526</w:t>
            </w:r>
          </w:p>
        </w:tc>
        <w:tc>
          <w:tcPr>
            <w:tcW w:w="1350"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sz w:val="18"/>
              </w:rPr>
            </w:pPr>
            <w:r w:rsidRPr="00A3064A">
              <w:rPr>
                <w:sz w:val="18"/>
              </w:rPr>
              <w:t>1.021</w:t>
            </w:r>
          </w:p>
        </w:tc>
        <w:tc>
          <w:tcPr>
            <w:tcW w:w="1260"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sz w:val="18"/>
              </w:rPr>
            </w:pPr>
            <w:r w:rsidRPr="00A3064A">
              <w:rPr>
                <w:sz w:val="18"/>
              </w:rPr>
              <w:t>2.542</w:t>
            </w:r>
          </w:p>
        </w:tc>
        <w:tc>
          <w:tcPr>
            <w:tcW w:w="1260"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sz w:val="18"/>
              </w:rPr>
            </w:pPr>
            <w:r w:rsidRPr="00A3064A">
              <w:rPr>
                <w:sz w:val="18"/>
              </w:rPr>
              <w:t>5.651</w:t>
            </w:r>
          </w:p>
        </w:tc>
      </w:tr>
      <w:tr w:rsidR="00596D1E" w:rsidRPr="005F2941" w:rsidTr="00A3064A">
        <w:trPr>
          <w:trHeight w:val="20"/>
          <w:jc w:val="center"/>
        </w:trPr>
        <w:tc>
          <w:tcPr>
            <w:cnfStyle w:val="001000000000" w:firstRow="0" w:lastRow="0" w:firstColumn="1" w:lastColumn="0" w:oddVBand="0" w:evenVBand="0" w:oddHBand="0" w:evenHBand="0" w:firstRowFirstColumn="0" w:firstRowLastColumn="0" w:lastRowFirstColumn="0" w:lastRowLastColumn="0"/>
            <w:tcW w:w="2718" w:type="dxa"/>
            <w:vMerge/>
            <w:hideMark/>
          </w:tcPr>
          <w:p w:rsidR="00596D1E" w:rsidRPr="00A3064A" w:rsidRDefault="00596D1E" w:rsidP="00A3064A">
            <w:pPr>
              <w:jc w:val="center"/>
              <w:rPr>
                <w:sz w:val="18"/>
              </w:rPr>
            </w:pPr>
          </w:p>
        </w:tc>
        <w:tc>
          <w:tcPr>
            <w:tcW w:w="1008"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b/>
                <w:bCs/>
                <w:sz w:val="18"/>
              </w:rPr>
            </w:pPr>
            <w:r w:rsidRPr="00A3064A">
              <w:rPr>
                <w:b/>
                <w:bCs/>
                <w:sz w:val="18"/>
              </w:rPr>
              <w:t>ROGERS</w:t>
            </w:r>
          </w:p>
        </w:tc>
        <w:tc>
          <w:tcPr>
            <w:tcW w:w="1242"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sz w:val="18"/>
              </w:rPr>
            </w:pPr>
            <w:r w:rsidRPr="00A3064A">
              <w:rPr>
                <w:sz w:val="18"/>
              </w:rPr>
              <w:t>19.234</w:t>
            </w:r>
          </w:p>
        </w:tc>
        <w:tc>
          <w:tcPr>
            <w:tcW w:w="1350"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sz w:val="18"/>
              </w:rPr>
            </w:pPr>
            <w:r w:rsidRPr="00A3064A">
              <w:rPr>
                <w:sz w:val="18"/>
              </w:rPr>
              <w:t>0.000</w:t>
            </w:r>
          </w:p>
        </w:tc>
        <w:tc>
          <w:tcPr>
            <w:tcW w:w="1260"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sz w:val="18"/>
              </w:rPr>
            </w:pPr>
            <w:r w:rsidRPr="00A3064A">
              <w:rPr>
                <w:sz w:val="18"/>
              </w:rPr>
              <w:t>0.000</w:t>
            </w:r>
          </w:p>
        </w:tc>
        <w:tc>
          <w:tcPr>
            <w:tcW w:w="1260"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sz w:val="18"/>
              </w:rPr>
            </w:pPr>
            <w:r w:rsidRPr="00A3064A">
              <w:rPr>
                <w:sz w:val="18"/>
              </w:rPr>
              <w:t>10.059</w:t>
            </w:r>
          </w:p>
        </w:tc>
      </w:tr>
      <w:tr w:rsidR="00596D1E" w:rsidRPr="005F2941" w:rsidTr="00A3064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18" w:type="dxa"/>
            <w:vMerge w:val="restart"/>
            <w:hideMark/>
          </w:tcPr>
          <w:p w:rsidR="00596D1E" w:rsidRPr="00A3064A" w:rsidRDefault="00596D1E" w:rsidP="00A3064A">
            <w:pPr>
              <w:jc w:val="center"/>
              <w:rPr>
                <w:sz w:val="18"/>
              </w:rPr>
            </w:pPr>
            <w:r w:rsidRPr="00A3064A">
              <w:rPr>
                <w:sz w:val="18"/>
              </w:rPr>
              <w:t>Day's Payable</w:t>
            </w:r>
            <w:r w:rsidRPr="00A3064A">
              <w:rPr>
                <w:sz w:val="18"/>
              </w:rPr>
              <w:br/>
              <w:t>(Days)</w:t>
            </w:r>
          </w:p>
        </w:tc>
        <w:tc>
          <w:tcPr>
            <w:tcW w:w="1008"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b/>
                <w:bCs/>
                <w:sz w:val="18"/>
              </w:rPr>
            </w:pPr>
            <w:r w:rsidRPr="00A3064A">
              <w:rPr>
                <w:b/>
                <w:bCs/>
                <w:sz w:val="18"/>
              </w:rPr>
              <w:t>TELUS</w:t>
            </w:r>
          </w:p>
        </w:tc>
        <w:tc>
          <w:tcPr>
            <w:tcW w:w="1242"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sz w:val="18"/>
              </w:rPr>
            </w:pPr>
            <w:r w:rsidRPr="00A3064A">
              <w:rPr>
                <w:sz w:val="18"/>
              </w:rPr>
              <w:t>169.284</w:t>
            </w:r>
          </w:p>
        </w:tc>
        <w:tc>
          <w:tcPr>
            <w:tcW w:w="1350"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sz w:val="18"/>
              </w:rPr>
            </w:pPr>
            <w:r w:rsidRPr="00A3064A">
              <w:rPr>
                <w:sz w:val="18"/>
              </w:rPr>
              <w:t>169.426</w:t>
            </w:r>
          </w:p>
        </w:tc>
        <w:tc>
          <w:tcPr>
            <w:tcW w:w="1260"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sz w:val="18"/>
              </w:rPr>
            </w:pPr>
            <w:r w:rsidRPr="00A3064A">
              <w:rPr>
                <w:sz w:val="18"/>
              </w:rPr>
              <w:t>130.968</w:t>
            </w:r>
          </w:p>
        </w:tc>
        <w:tc>
          <w:tcPr>
            <w:tcW w:w="1260"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sz w:val="18"/>
              </w:rPr>
            </w:pPr>
            <w:r w:rsidRPr="00A3064A">
              <w:rPr>
                <w:sz w:val="18"/>
              </w:rPr>
              <w:t>135.148</w:t>
            </w:r>
          </w:p>
        </w:tc>
      </w:tr>
      <w:tr w:rsidR="00596D1E" w:rsidRPr="005F2941" w:rsidTr="00A3064A">
        <w:trPr>
          <w:trHeight w:val="20"/>
          <w:jc w:val="center"/>
        </w:trPr>
        <w:tc>
          <w:tcPr>
            <w:cnfStyle w:val="001000000000" w:firstRow="0" w:lastRow="0" w:firstColumn="1" w:lastColumn="0" w:oddVBand="0" w:evenVBand="0" w:oddHBand="0" w:evenHBand="0" w:firstRowFirstColumn="0" w:firstRowLastColumn="0" w:lastRowFirstColumn="0" w:lastRowLastColumn="0"/>
            <w:tcW w:w="2718" w:type="dxa"/>
            <w:vMerge/>
            <w:hideMark/>
          </w:tcPr>
          <w:p w:rsidR="00596D1E" w:rsidRPr="00A3064A" w:rsidRDefault="00596D1E" w:rsidP="00A3064A">
            <w:pPr>
              <w:jc w:val="center"/>
              <w:rPr>
                <w:sz w:val="18"/>
              </w:rPr>
            </w:pPr>
          </w:p>
        </w:tc>
        <w:tc>
          <w:tcPr>
            <w:tcW w:w="1008"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b/>
                <w:bCs/>
                <w:sz w:val="18"/>
              </w:rPr>
            </w:pPr>
            <w:r w:rsidRPr="00A3064A">
              <w:rPr>
                <w:b/>
                <w:bCs/>
                <w:sz w:val="18"/>
              </w:rPr>
              <w:t>ROGERS</w:t>
            </w:r>
          </w:p>
        </w:tc>
        <w:tc>
          <w:tcPr>
            <w:tcW w:w="1242"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sz w:val="18"/>
              </w:rPr>
            </w:pPr>
            <w:r w:rsidRPr="00A3064A">
              <w:rPr>
                <w:sz w:val="18"/>
              </w:rPr>
              <w:t>134.765</w:t>
            </w:r>
          </w:p>
        </w:tc>
        <w:tc>
          <w:tcPr>
            <w:tcW w:w="1350"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sz w:val="18"/>
              </w:rPr>
            </w:pPr>
            <w:r w:rsidRPr="00A3064A">
              <w:rPr>
                <w:sz w:val="18"/>
              </w:rPr>
              <w:t>132.004</w:t>
            </w:r>
          </w:p>
        </w:tc>
        <w:tc>
          <w:tcPr>
            <w:tcW w:w="1260"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sz w:val="18"/>
              </w:rPr>
            </w:pPr>
            <w:r w:rsidRPr="00A3064A">
              <w:rPr>
                <w:sz w:val="18"/>
              </w:rPr>
              <w:t>116.062</w:t>
            </w:r>
          </w:p>
        </w:tc>
        <w:tc>
          <w:tcPr>
            <w:tcW w:w="1260"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sz w:val="18"/>
              </w:rPr>
            </w:pPr>
            <w:r w:rsidRPr="00A3064A">
              <w:rPr>
                <w:sz w:val="18"/>
              </w:rPr>
              <w:t>122.606</w:t>
            </w:r>
          </w:p>
        </w:tc>
      </w:tr>
      <w:tr w:rsidR="00596D1E" w:rsidRPr="005F2941" w:rsidTr="00A3064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18" w:type="dxa"/>
            <w:vMerge w:val="restart"/>
            <w:hideMark/>
          </w:tcPr>
          <w:p w:rsidR="00596D1E" w:rsidRPr="00A3064A" w:rsidRDefault="00596D1E" w:rsidP="00A3064A">
            <w:pPr>
              <w:jc w:val="center"/>
              <w:rPr>
                <w:sz w:val="18"/>
              </w:rPr>
            </w:pPr>
            <w:r w:rsidRPr="00A3064A">
              <w:rPr>
                <w:sz w:val="18"/>
              </w:rPr>
              <w:t>Day's Receivable</w:t>
            </w:r>
            <w:r w:rsidRPr="00A3064A">
              <w:rPr>
                <w:sz w:val="18"/>
              </w:rPr>
              <w:br/>
              <w:t>(Days)</w:t>
            </w:r>
          </w:p>
        </w:tc>
        <w:tc>
          <w:tcPr>
            <w:tcW w:w="1008"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b/>
                <w:bCs/>
                <w:sz w:val="18"/>
              </w:rPr>
            </w:pPr>
            <w:r w:rsidRPr="00A3064A">
              <w:rPr>
                <w:b/>
                <w:bCs/>
                <w:sz w:val="18"/>
              </w:rPr>
              <w:t>TELUS</w:t>
            </w:r>
          </w:p>
        </w:tc>
        <w:tc>
          <w:tcPr>
            <w:tcW w:w="1242"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sz w:val="18"/>
              </w:rPr>
            </w:pPr>
            <w:r w:rsidRPr="00A3064A">
              <w:rPr>
                <w:sz w:val="18"/>
              </w:rPr>
              <w:t>22.798</w:t>
            </w:r>
          </w:p>
        </w:tc>
        <w:tc>
          <w:tcPr>
            <w:tcW w:w="1350"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sz w:val="18"/>
              </w:rPr>
            </w:pPr>
            <w:r w:rsidRPr="00A3064A">
              <w:rPr>
                <w:sz w:val="18"/>
              </w:rPr>
              <w:t>45.072</w:t>
            </w:r>
          </w:p>
        </w:tc>
        <w:tc>
          <w:tcPr>
            <w:tcW w:w="1260"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sz w:val="18"/>
              </w:rPr>
            </w:pPr>
            <w:r w:rsidRPr="00A3064A">
              <w:rPr>
                <w:sz w:val="18"/>
              </w:rPr>
              <w:t>44.295</w:t>
            </w:r>
          </w:p>
        </w:tc>
        <w:tc>
          <w:tcPr>
            <w:tcW w:w="1260"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sz w:val="18"/>
              </w:rPr>
            </w:pPr>
            <w:r w:rsidRPr="00A3064A">
              <w:rPr>
                <w:sz w:val="18"/>
              </w:rPr>
              <w:t>44.767</w:t>
            </w:r>
          </w:p>
        </w:tc>
      </w:tr>
      <w:tr w:rsidR="00596D1E" w:rsidRPr="005F2941" w:rsidTr="00A3064A">
        <w:trPr>
          <w:trHeight w:val="20"/>
          <w:jc w:val="center"/>
        </w:trPr>
        <w:tc>
          <w:tcPr>
            <w:cnfStyle w:val="001000000000" w:firstRow="0" w:lastRow="0" w:firstColumn="1" w:lastColumn="0" w:oddVBand="0" w:evenVBand="0" w:oddHBand="0" w:evenHBand="0" w:firstRowFirstColumn="0" w:firstRowLastColumn="0" w:lastRowFirstColumn="0" w:lastRowLastColumn="0"/>
            <w:tcW w:w="2718" w:type="dxa"/>
            <w:vMerge/>
            <w:hideMark/>
          </w:tcPr>
          <w:p w:rsidR="00596D1E" w:rsidRPr="00A3064A" w:rsidRDefault="00596D1E" w:rsidP="00A3064A">
            <w:pPr>
              <w:jc w:val="center"/>
              <w:rPr>
                <w:sz w:val="18"/>
              </w:rPr>
            </w:pPr>
          </w:p>
        </w:tc>
        <w:tc>
          <w:tcPr>
            <w:tcW w:w="1008"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b/>
                <w:bCs/>
                <w:sz w:val="18"/>
              </w:rPr>
            </w:pPr>
            <w:r w:rsidRPr="00A3064A">
              <w:rPr>
                <w:b/>
                <w:bCs/>
                <w:sz w:val="18"/>
              </w:rPr>
              <w:t>ROGERS</w:t>
            </w:r>
          </w:p>
        </w:tc>
        <w:tc>
          <w:tcPr>
            <w:tcW w:w="1242"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sz w:val="18"/>
              </w:rPr>
            </w:pPr>
            <w:r w:rsidRPr="00A3064A">
              <w:rPr>
                <w:sz w:val="18"/>
              </w:rPr>
              <w:t>40.760</w:t>
            </w:r>
          </w:p>
        </w:tc>
        <w:tc>
          <w:tcPr>
            <w:tcW w:w="1350"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sz w:val="18"/>
              </w:rPr>
            </w:pPr>
            <w:r w:rsidRPr="00A3064A">
              <w:rPr>
                <w:sz w:val="18"/>
              </w:rPr>
              <w:t>43.378</w:t>
            </w:r>
          </w:p>
        </w:tc>
        <w:tc>
          <w:tcPr>
            <w:tcW w:w="1260"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sz w:val="18"/>
              </w:rPr>
            </w:pPr>
            <w:r w:rsidRPr="00A3064A">
              <w:rPr>
                <w:sz w:val="18"/>
              </w:rPr>
              <w:t>46.534</w:t>
            </w:r>
          </w:p>
        </w:tc>
        <w:tc>
          <w:tcPr>
            <w:tcW w:w="1260"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sz w:val="18"/>
              </w:rPr>
            </w:pPr>
            <w:r w:rsidRPr="00A3064A">
              <w:rPr>
                <w:sz w:val="18"/>
              </w:rPr>
              <w:t>44.901</w:t>
            </w:r>
          </w:p>
        </w:tc>
      </w:tr>
      <w:tr w:rsidR="00596D1E" w:rsidRPr="005F2941" w:rsidTr="00A3064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18" w:type="dxa"/>
            <w:vMerge w:val="restart"/>
            <w:hideMark/>
          </w:tcPr>
          <w:p w:rsidR="00596D1E" w:rsidRPr="00A3064A" w:rsidRDefault="00596D1E" w:rsidP="00A3064A">
            <w:pPr>
              <w:jc w:val="center"/>
              <w:rPr>
                <w:sz w:val="18"/>
              </w:rPr>
            </w:pPr>
            <w:r w:rsidRPr="00A3064A">
              <w:rPr>
                <w:sz w:val="18"/>
              </w:rPr>
              <w:t>Day's Inventory</w:t>
            </w:r>
            <w:r w:rsidRPr="00A3064A">
              <w:rPr>
                <w:sz w:val="18"/>
              </w:rPr>
              <w:br/>
              <w:t>(Days)</w:t>
            </w:r>
          </w:p>
        </w:tc>
        <w:tc>
          <w:tcPr>
            <w:tcW w:w="1008"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b/>
                <w:bCs/>
                <w:sz w:val="18"/>
              </w:rPr>
            </w:pPr>
            <w:r w:rsidRPr="00A3064A">
              <w:rPr>
                <w:b/>
                <w:bCs/>
                <w:sz w:val="18"/>
              </w:rPr>
              <w:t>TELUS</w:t>
            </w:r>
          </w:p>
        </w:tc>
        <w:tc>
          <w:tcPr>
            <w:tcW w:w="1242"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sz w:val="18"/>
              </w:rPr>
            </w:pPr>
            <w:r w:rsidRPr="00A3064A">
              <w:rPr>
                <w:sz w:val="18"/>
              </w:rPr>
              <w:t>30.064</w:t>
            </w:r>
          </w:p>
        </w:tc>
        <w:tc>
          <w:tcPr>
            <w:tcW w:w="1350"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sz w:val="18"/>
              </w:rPr>
            </w:pPr>
            <w:r w:rsidRPr="00A3064A">
              <w:rPr>
                <w:sz w:val="18"/>
              </w:rPr>
              <w:t>24.385</w:t>
            </w:r>
          </w:p>
        </w:tc>
        <w:tc>
          <w:tcPr>
            <w:tcW w:w="1260"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sz w:val="18"/>
              </w:rPr>
            </w:pPr>
            <w:r w:rsidRPr="00A3064A">
              <w:rPr>
                <w:sz w:val="18"/>
              </w:rPr>
              <w:t>27.263</w:t>
            </w:r>
          </w:p>
        </w:tc>
        <w:tc>
          <w:tcPr>
            <w:tcW w:w="1260"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sz w:val="18"/>
              </w:rPr>
            </w:pPr>
            <w:r w:rsidRPr="00A3064A">
              <w:rPr>
                <w:sz w:val="18"/>
              </w:rPr>
              <w:t>26.504</w:t>
            </w:r>
          </w:p>
        </w:tc>
      </w:tr>
      <w:tr w:rsidR="00596D1E" w:rsidRPr="005F2941" w:rsidTr="00A3064A">
        <w:trPr>
          <w:trHeight w:val="20"/>
          <w:jc w:val="center"/>
        </w:trPr>
        <w:tc>
          <w:tcPr>
            <w:cnfStyle w:val="001000000000" w:firstRow="0" w:lastRow="0" w:firstColumn="1" w:lastColumn="0" w:oddVBand="0" w:evenVBand="0" w:oddHBand="0" w:evenHBand="0" w:firstRowFirstColumn="0" w:firstRowLastColumn="0" w:lastRowFirstColumn="0" w:lastRowLastColumn="0"/>
            <w:tcW w:w="2718" w:type="dxa"/>
            <w:vMerge/>
            <w:hideMark/>
          </w:tcPr>
          <w:p w:rsidR="00596D1E" w:rsidRPr="00A3064A" w:rsidRDefault="00596D1E" w:rsidP="00A3064A">
            <w:pPr>
              <w:jc w:val="center"/>
              <w:rPr>
                <w:sz w:val="18"/>
              </w:rPr>
            </w:pPr>
          </w:p>
        </w:tc>
        <w:tc>
          <w:tcPr>
            <w:tcW w:w="1008"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b/>
                <w:bCs/>
                <w:sz w:val="18"/>
              </w:rPr>
            </w:pPr>
            <w:r w:rsidRPr="00A3064A">
              <w:rPr>
                <w:b/>
                <w:bCs/>
                <w:sz w:val="18"/>
              </w:rPr>
              <w:t>ROGERS</w:t>
            </w:r>
          </w:p>
        </w:tc>
        <w:tc>
          <w:tcPr>
            <w:tcW w:w="1242"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sz w:val="18"/>
              </w:rPr>
            </w:pPr>
            <w:r w:rsidRPr="00A3064A">
              <w:rPr>
                <w:sz w:val="18"/>
              </w:rPr>
              <w:t>41.261</w:t>
            </w:r>
          </w:p>
        </w:tc>
        <w:tc>
          <w:tcPr>
            <w:tcW w:w="1350"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sz w:val="18"/>
              </w:rPr>
            </w:pPr>
            <w:r w:rsidRPr="00A3064A">
              <w:rPr>
                <w:sz w:val="18"/>
              </w:rPr>
              <w:t>8.919</w:t>
            </w:r>
          </w:p>
        </w:tc>
        <w:tc>
          <w:tcPr>
            <w:tcW w:w="1260"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sz w:val="18"/>
              </w:rPr>
            </w:pPr>
            <w:r w:rsidRPr="00A3064A">
              <w:rPr>
                <w:sz w:val="18"/>
              </w:rPr>
              <w:t>9.802</w:t>
            </w:r>
          </w:p>
        </w:tc>
        <w:tc>
          <w:tcPr>
            <w:tcW w:w="1260"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sz w:val="18"/>
              </w:rPr>
            </w:pPr>
            <w:r w:rsidRPr="00A3064A">
              <w:rPr>
                <w:sz w:val="18"/>
              </w:rPr>
              <w:t>13.837</w:t>
            </w:r>
          </w:p>
        </w:tc>
      </w:tr>
      <w:tr w:rsidR="00596D1E" w:rsidRPr="005F2941" w:rsidTr="00A3064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18" w:type="dxa"/>
            <w:vMerge w:val="restart"/>
            <w:hideMark/>
          </w:tcPr>
          <w:p w:rsidR="00596D1E" w:rsidRPr="00A3064A" w:rsidRDefault="00596D1E" w:rsidP="00A3064A">
            <w:pPr>
              <w:jc w:val="center"/>
              <w:rPr>
                <w:sz w:val="18"/>
              </w:rPr>
            </w:pPr>
            <w:r w:rsidRPr="00A3064A">
              <w:rPr>
                <w:sz w:val="18"/>
              </w:rPr>
              <w:t>Cash Conversion Cycle</w:t>
            </w:r>
            <w:r w:rsidRPr="00A3064A">
              <w:rPr>
                <w:sz w:val="18"/>
              </w:rPr>
              <w:br/>
              <w:t>(Days)</w:t>
            </w:r>
          </w:p>
        </w:tc>
        <w:tc>
          <w:tcPr>
            <w:tcW w:w="1008"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b/>
                <w:bCs/>
                <w:sz w:val="18"/>
              </w:rPr>
            </w:pPr>
            <w:r w:rsidRPr="00A3064A">
              <w:rPr>
                <w:b/>
                <w:bCs/>
                <w:sz w:val="18"/>
              </w:rPr>
              <w:t>TELUS</w:t>
            </w:r>
          </w:p>
        </w:tc>
        <w:tc>
          <w:tcPr>
            <w:tcW w:w="1242"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sz w:val="18"/>
              </w:rPr>
            </w:pPr>
            <w:r w:rsidRPr="00A3064A">
              <w:rPr>
                <w:sz w:val="18"/>
              </w:rPr>
              <w:t>-116.422</w:t>
            </w:r>
          </w:p>
        </w:tc>
        <w:tc>
          <w:tcPr>
            <w:tcW w:w="1350"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sz w:val="18"/>
              </w:rPr>
            </w:pPr>
            <w:r w:rsidRPr="00A3064A">
              <w:rPr>
                <w:sz w:val="18"/>
              </w:rPr>
              <w:t>-99.969</w:t>
            </w:r>
          </w:p>
        </w:tc>
        <w:tc>
          <w:tcPr>
            <w:tcW w:w="1260"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sz w:val="18"/>
              </w:rPr>
            </w:pPr>
            <w:r w:rsidRPr="00A3064A">
              <w:rPr>
                <w:sz w:val="18"/>
              </w:rPr>
              <w:t>-59.410</w:t>
            </w:r>
          </w:p>
        </w:tc>
        <w:tc>
          <w:tcPr>
            <w:tcW w:w="1260" w:type="dxa"/>
            <w:noWrap/>
            <w:hideMark/>
          </w:tcPr>
          <w:p w:rsidR="00596D1E" w:rsidRPr="00A3064A" w:rsidRDefault="00596D1E" w:rsidP="00A3064A">
            <w:pPr>
              <w:jc w:val="center"/>
              <w:cnfStyle w:val="000000100000" w:firstRow="0" w:lastRow="0" w:firstColumn="0" w:lastColumn="0" w:oddVBand="0" w:evenVBand="0" w:oddHBand="1" w:evenHBand="0" w:firstRowFirstColumn="0" w:firstRowLastColumn="0" w:lastRowFirstColumn="0" w:lastRowLastColumn="0"/>
              <w:rPr>
                <w:sz w:val="18"/>
              </w:rPr>
            </w:pPr>
            <w:r w:rsidRPr="00A3064A">
              <w:rPr>
                <w:sz w:val="18"/>
              </w:rPr>
              <w:t>-63.877</w:t>
            </w:r>
          </w:p>
        </w:tc>
      </w:tr>
      <w:tr w:rsidR="00596D1E" w:rsidRPr="005F2941" w:rsidTr="00A3064A">
        <w:trPr>
          <w:trHeight w:val="20"/>
          <w:jc w:val="center"/>
        </w:trPr>
        <w:tc>
          <w:tcPr>
            <w:cnfStyle w:val="001000000000" w:firstRow="0" w:lastRow="0" w:firstColumn="1" w:lastColumn="0" w:oddVBand="0" w:evenVBand="0" w:oddHBand="0" w:evenHBand="0" w:firstRowFirstColumn="0" w:firstRowLastColumn="0" w:lastRowFirstColumn="0" w:lastRowLastColumn="0"/>
            <w:tcW w:w="2718" w:type="dxa"/>
            <w:vMerge/>
            <w:hideMark/>
          </w:tcPr>
          <w:p w:rsidR="00596D1E" w:rsidRPr="00A3064A" w:rsidRDefault="00596D1E" w:rsidP="00A3064A">
            <w:pPr>
              <w:jc w:val="center"/>
              <w:rPr>
                <w:sz w:val="18"/>
              </w:rPr>
            </w:pPr>
          </w:p>
        </w:tc>
        <w:tc>
          <w:tcPr>
            <w:tcW w:w="1008"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b/>
                <w:bCs/>
                <w:sz w:val="18"/>
              </w:rPr>
            </w:pPr>
            <w:r w:rsidRPr="00A3064A">
              <w:rPr>
                <w:b/>
                <w:bCs/>
                <w:sz w:val="18"/>
              </w:rPr>
              <w:t>ROGERS</w:t>
            </w:r>
          </w:p>
        </w:tc>
        <w:tc>
          <w:tcPr>
            <w:tcW w:w="1242"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sz w:val="18"/>
              </w:rPr>
            </w:pPr>
            <w:r w:rsidRPr="00A3064A">
              <w:rPr>
                <w:sz w:val="18"/>
              </w:rPr>
              <w:t>-52.745</w:t>
            </w:r>
          </w:p>
        </w:tc>
        <w:tc>
          <w:tcPr>
            <w:tcW w:w="1350"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sz w:val="18"/>
              </w:rPr>
            </w:pPr>
            <w:r w:rsidRPr="00A3064A">
              <w:rPr>
                <w:sz w:val="18"/>
              </w:rPr>
              <w:t>-79.707</w:t>
            </w:r>
          </w:p>
        </w:tc>
        <w:tc>
          <w:tcPr>
            <w:tcW w:w="1260"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sz w:val="18"/>
              </w:rPr>
            </w:pPr>
            <w:r w:rsidRPr="00A3064A">
              <w:rPr>
                <w:sz w:val="18"/>
              </w:rPr>
              <w:t>-59.726</w:t>
            </w:r>
          </w:p>
        </w:tc>
        <w:tc>
          <w:tcPr>
            <w:tcW w:w="1260" w:type="dxa"/>
            <w:noWrap/>
            <w:hideMark/>
          </w:tcPr>
          <w:p w:rsidR="00596D1E" w:rsidRPr="00A3064A" w:rsidRDefault="00596D1E" w:rsidP="00A3064A">
            <w:pPr>
              <w:jc w:val="center"/>
              <w:cnfStyle w:val="000000000000" w:firstRow="0" w:lastRow="0" w:firstColumn="0" w:lastColumn="0" w:oddVBand="0" w:evenVBand="0" w:oddHBand="0" w:evenHBand="0" w:firstRowFirstColumn="0" w:firstRowLastColumn="0" w:lastRowFirstColumn="0" w:lastRowLastColumn="0"/>
              <w:rPr>
                <w:sz w:val="18"/>
              </w:rPr>
            </w:pPr>
            <w:r w:rsidRPr="00A3064A">
              <w:rPr>
                <w:sz w:val="18"/>
              </w:rPr>
              <w:t>-63.868</w:t>
            </w:r>
          </w:p>
        </w:tc>
      </w:tr>
    </w:tbl>
    <w:p w:rsidR="00596D1E" w:rsidRPr="00A3064A" w:rsidRDefault="00621267" w:rsidP="00A3064A">
      <w:pPr>
        <w:pStyle w:val="Caption"/>
        <w:rPr>
          <w:color w:val="1F497D" w:themeColor="text2"/>
        </w:rPr>
      </w:pPr>
      <w:r>
        <w:rPr>
          <w:color w:val="1F497D" w:themeColor="text2"/>
        </w:rPr>
        <w:t>Table 6 -</w:t>
      </w:r>
      <w:r w:rsidR="00596D1E" w:rsidRPr="00A3064A">
        <w:rPr>
          <w:color w:val="1F497D" w:themeColor="text2"/>
        </w:rPr>
        <w:t xml:space="preserve"> Cash Conversion Cycle Values for Telus and Rogers</w:t>
      </w:r>
    </w:p>
    <w:p w:rsidR="00596D1E" w:rsidRPr="004B1629" w:rsidRDefault="00596D1E" w:rsidP="004B1629">
      <w:pPr>
        <w:rPr>
          <w:szCs w:val="22"/>
        </w:rPr>
      </w:pPr>
      <w:r w:rsidRPr="004B1629">
        <w:rPr>
          <w:szCs w:val="22"/>
        </w:rPr>
        <w:t xml:space="preserve">From the </w:t>
      </w:r>
      <w:r w:rsidR="00A3064A" w:rsidRPr="004B1629">
        <w:rPr>
          <w:szCs w:val="22"/>
        </w:rPr>
        <w:t>d</w:t>
      </w:r>
      <w:r w:rsidRPr="004B1629">
        <w:rPr>
          <w:szCs w:val="22"/>
        </w:rPr>
        <w:t xml:space="preserve">ay’s </w:t>
      </w:r>
      <w:r w:rsidR="00A3064A" w:rsidRPr="004B1629">
        <w:rPr>
          <w:szCs w:val="22"/>
        </w:rPr>
        <w:t>c</w:t>
      </w:r>
      <w:r w:rsidRPr="004B1629">
        <w:rPr>
          <w:szCs w:val="22"/>
        </w:rPr>
        <w:t xml:space="preserve">ash indicator, we observe that Rogers is </w:t>
      </w:r>
      <w:r w:rsidR="00A3064A" w:rsidRPr="004B1629">
        <w:rPr>
          <w:szCs w:val="22"/>
        </w:rPr>
        <w:t>in</w:t>
      </w:r>
      <w:r w:rsidRPr="004B1629">
        <w:rPr>
          <w:szCs w:val="22"/>
        </w:rPr>
        <w:t>consistent from year</w:t>
      </w:r>
      <w:r w:rsidR="00A3064A" w:rsidRPr="004B1629">
        <w:rPr>
          <w:szCs w:val="22"/>
        </w:rPr>
        <w:t xml:space="preserve"> to year and generally holds</w:t>
      </w:r>
      <w:r w:rsidRPr="004B1629">
        <w:rPr>
          <w:szCs w:val="22"/>
        </w:rPr>
        <w:t xml:space="preserve"> more days’ worth of cash than Telus does, indicating that Rogers could potentially manage its available cash more closely. </w:t>
      </w:r>
    </w:p>
    <w:p w:rsidR="00596D1E" w:rsidRPr="004B1629" w:rsidRDefault="00A3064A" w:rsidP="004B1629">
      <w:pPr>
        <w:rPr>
          <w:szCs w:val="22"/>
        </w:rPr>
      </w:pPr>
      <w:r w:rsidRPr="004B1629">
        <w:rPr>
          <w:szCs w:val="22"/>
        </w:rPr>
        <w:t>The day’s p</w:t>
      </w:r>
      <w:r w:rsidR="00596D1E" w:rsidRPr="004B1629">
        <w:rPr>
          <w:szCs w:val="22"/>
        </w:rPr>
        <w:t>ayable indicator</w:t>
      </w:r>
      <w:r w:rsidRPr="004B1629">
        <w:rPr>
          <w:szCs w:val="22"/>
        </w:rPr>
        <w:t xml:space="preserve"> </w:t>
      </w:r>
      <w:r w:rsidR="00596D1E" w:rsidRPr="004B1629">
        <w:rPr>
          <w:szCs w:val="22"/>
        </w:rPr>
        <w:t>shows that Rogers consistently keep fewer days’ worth of payable</w:t>
      </w:r>
      <w:r w:rsidRPr="004B1629">
        <w:rPr>
          <w:szCs w:val="22"/>
        </w:rPr>
        <w:t>s</w:t>
      </w:r>
      <w:r w:rsidR="00596D1E" w:rsidRPr="004B1629">
        <w:rPr>
          <w:szCs w:val="22"/>
        </w:rPr>
        <w:t>, which indicates a faster payment cycle.</w:t>
      </w:r>
    </w:p>
    <w:p w:rsidR="00596D1E" w:rsidRPr="004B1629" w:rsidRDefault="00596D1E" w:rsidP="004B1629">
      <w:pPr>
        <w:rPr>
          <w:szCs w:val="22"/>
        </w:rPr>
      </w:pPr>
      <w:r w:rsidRPr="004B1629">
        <w:rPr>
          <w:szCs w:val="22"/>
        </w:rPr>
        <w:lastRenderedPageBreak/>
        <w:t>Both Telus and Rogers have similar values for day’s receivable. This is consistent with an industry where customers are expected to pay their monthly bills at constant intervals.</w:t>
      </w:r>
    </w:p>
    <w:p w:rsidR="00596D1E" w:rsidRPr="004B1629" w:rsidRDefault="00596D1E" w:rsidP="004B1629">
      <w:pPr>
        <w:rPr>
          <w:szCs w:val="22"/>
        </w:rPr>
      </w:pPr>
      <w:r w:rsidRPr="004B1629">
        <w:rPr>
          <w:szCs w:val="22"/>
        </w:rPr>
        <w:t>We also observe from the day’s inventory indicator that Rogers manages to keep much less days’ worth of inventory compared to Telus. With approximately 150 to 200 millions of dollars of inventory, this indicates that Telus is tying up much more of its assets into its inventory compared to Rogers.</w:t>
      </w:r>
    </w:p>
    <w:p w:rsidR="00596D1E" w:rsidRDefault="00596D1E" w:rsidP="004B1629">
      <w:r w:rsidRPr="004B1629">
        <w:rPr>
          <w:szCs w:val="22"/>
        </w:rPr>
        <w:t xml:space="preserve">Finally, </w:t>
      </w:r>
      <w:r w:rsidR="0031291F" w:rsidRPr="004B1629">
        <w:rPr>
          <w:szCs w:val="22"/>
        </w:rPr>
        <w:t xml:space="preserve">an examination of </w:t>
      </w:r>
      <w:r w:rsidRPr="004B1629">
        <w:rPr>
          <w:szCs w:val="22"/>
        </w:rPr>
        <w:t>the complete cash conversion cy</w:t>
      </w:r>
      <w:r w:rsidR="0031291F" w:rsidRPr="004B1629">
        <w:rPr>
          <w:szCs w:val="22"/>
        </w:rPr>
        <w:t>c</w:t>
      </w:r>
      <w:r w:rsidRPr="004B1629">
        <w:rPr>
          <w:szCs w:val="22"/>
        </w:rPr>
        <w:t xml:space="preserve">les of both companies </w:t>
      </w:r>
      <w:r w:rsidR="0031291F" w:rsidRPr="004B1629">
        <w:rPr>
          <w:szCs w:val="22"/>
        </w:rPr>
        <w:t>reveals</w:t>
      </w:r>
      <w:r w:rsidRPr="004B1629">
        <w:rPr>
          <w:szCs w:val="22"/>
        </w:rPr>
        <w:t xml:space="preserve"> negative values. This is due to the fact that the day’s payables for both companies are much larger than</w:t>
      </w:r>
      <w:r>
        <w:t xml:space="preserve"> their operating. In effect, they lower inventory and demand payments </w:t>
      </w:r>
      <w:r w:rsidR="0031291F">
        <w:t>more rapidly</w:t>
      </w:r>
      <w:r>
        <w:t xml:space="preserve"> th</w:t>
      </w:r>
      <w:r w:rsidR="0031291F">
        <w:t>a</w:t>
      </w:r>
      <w:r>
        <w:t xml:space="preserve">n they are required to make their own payments. </w:t>
      </w:r>
      <w:r w:rsidR="0031291F">
        <w:t>B</w:t>
      </w:r>
      <w:r>
        <w:t xml:space="preserve">oth companies have achieved </w:t>
      </w:r>
      <w:r w:rsidR="00683D6B">
        <w:t xml:space="preserve">similar cycle times since 2010, </w:t>
      </w:r>
      <w:r w:rsidR="00683D6B" w:rsidRPr="00210CCC">
        <w:t xml:space="preserve">although Telus compensates for its larger inventory by stretching out its payment </w:t>
      </w:r>
      <w:r w:rsidRPr="00210CCC">
        <w:t>schedules</w:t>
      </w:r>
      <w:r>
        <w:t>.</w:t>
      </w:r>
    </w:p>
    <w:p w:rsidR="00596D1E" w:rsidRDefault="00596D1E" w:rsidP="00A3064A">
      <w:pPr>
        <w:pStyle w:val="Heading3"/>
      </w:pPr>
      <w:bookmarkStart w:id="19" w:name="_Toc374518265"/>
      <w:r w:rsidRPr="00C67C6D">
        <w:t>Investment Utilization Summary</w:t>
      </w:r>
      <w:bookmarkEnd w:id="19"/>
    </w:p>
    <w:p w:rsidR="00596D1E" w:rsidRDefault="004B1629" w:rsidP="004B1629">
      <w:r>
        <w:t>Based upon t</w:t>
      </w:r>
      <w:r w:rsidR="00596D1E">
        <w:t>he investment utilization assessment</w:t>
      </w:r>
      <w:r>
        <w:t xml:space="preserve"> conducted here,</w:t>
      </w:r>
      <w:r w:rsidR="00596D1E">
        <w:t xml:space="preserve"> Rogers has achieved better return on their investment as well as better cash management, primarily due to better inventory management. Accordingly, these indicators substantiate better potential growth and stability at Rogers.</w:t>
      </w:r>
    </w:p>
    <w:p w:rsidR="00596D1E" w:rsidRPr="005A0FDA" w:rsidRDefault="00596D1E" w:rsidP="00FD5014">
      <w:pPr>
        <w:pStyle w:val="Heading2"/>
        <w:rPr>
          <w:szCs w:val="24"/>
          <w:lang w:eastAsia="en-CA"/>
        </w:rPr>
      </w:pPr>
      <w:bookmarkStart w:id="20" w:name="_Toc374518266"/>
      <w:r>
        <w:t>Financial Condition/Liquidity and Solvency</w:t>
      </w:r>
      <w:bookmarkEnd w:id="20"/>
    </w:p>
    <w:p w:rsidR="00621267" w:rsidRDefault="00621267" w:rsidP="00621267">
      <w:pPr>
        <w:pStyle w:val="Heading3"/>
        <w:rPr>
          <w:rFonts w:eastAsiaTheme="minorEastAsia"/>
        </w:rPr>
      </w:pPr>
      <w:bookmarkStart w:id="21" w:name="_Toc374518267"/>
      <w:r w:rsidRPr="000109BE">
        <w:rPr>
          <w:rFonts w:eastAsiaTheme="minorEastAsia"/>
        </w:rPr>
        <w:t>Current Ratio and Acid-Test Ratio</w:t>
      </w:r>
      <w:bookmarkEnd w:id="21"/>
    </w:p>
    <w:p w:rsidR="00CA6D1A" w:rsidRDefault="00621267" w:rsidP="00CA6D1A">
      <w:r>
        <w:t>The current ratio and a</w:t>
      </w:r>
      <w:r w:rsidRPr="000109BE">
        <w:t>cid-test ratio measure a company’s liquidity and repre</w:t>
      </w:r>
      <w:r>
        <w:t>sent</w:t>
      </w:r>
      <w:r w:rsidRPr="000109BE">
        <w:t xml:space="preserve"> the margin of safety to cover fluctuation in cash flows. </w:t>
      </w:r>
      <w:r>
        <w:t>The</w:t>
      </w:r>
      <w:r w:rsidRPr="000109BE">
        <w:t xml:space="preserve">se ratios </w:t>
      </w:r>
      <w:r w:rsidR="00CA6D1A">
        <w:t>for</w:t>
      </w:r>
      <w:r w:rsidRPr="000109BE">
        <w:t xml:space="preserve"> Telus and Rogers ar</w:t>
      </w:r>
      <w:r>
        <w:t>e both well below the industry</w:t>
      </w:r>
      <w:r w:rsidRPr="000109BE">
        <w:t xml:space="preserve"> average of 1.28 and 1.16</w:t>
      </w:r>
      <w:r w:rsidR="00CA6D1A">
        <w:t xml:space="preserve"> (Figure 6)</w:t>
      </w:r>
      <w:r w:rsidRPr="000109BE">
        <w:t>. Telus</w:t>
      </w:r>
      <w:r w:rsidR="00CA6D1A">
        <w:t>’</w:t>
      </w:r>
      <w:r w:rsidRPr="000109BE">
        <w:t xml:space="preserve"> current assets increased year by year </w:t>
      </w:r>
      <w:r w:rsidR="00CA6D1A">
        <w:t>since</w:t>
      </w:r>
      <w:r w:rsidRPr="000109BE">
        <w:t xml:space="preserve"> 200</w:t>
      </w:r>
      <w:r w:rsidR="00CA6D1A">
        <w:t>9</w:t>
      </w:r>
      <w:r w:rsidRPr="000109BE">
        <w:t>, whereas its current liabilities decreased from 4.098 billion</w:t>
      </w:r>
      <w:r w:rsidR="00CA6D1A">
        <w:t xml:space="preserve"> in 2010</w:t>
      </w:r>
      <w:r w:rsidRPr="000109BE">
        <w:t xml:space="preserve"> to 3.520 billion CAD</w:t>
      </w:r>
      <w:r w:rsidR="00CA6D1A">
        <w:t xml:space="preserve"> in 2012. The net result of this is an increase in the</w:t>
      </w:r>
      <w:r w:rsidRPr="000109BE">
        <w:t xml:space="preserve"> current ratio of Telus from 0.44 </w:t>
      </w:r>
      <w:r w:rsidR="00CA6D1A">
        <w:t xml:space="preserve">in 2010 </w:t>
      </w:r>
      <w:r w:rsidRPr="000109BE">
        <w:t>to 0.63</w:t>
      </w:r>
      <w:r w:rsidR="00CA6D1A">
        <w:t xml:space="preserve"> in 2012.</w:t>
      </w:r>
      <w:r w:rsidRPr="000109BE">
        <w:t xml:space="preserve"> This indicates that Telus is becoming </w:t>
      </w:r>
      <w:r w:rsidR="00CA6D1A">
        <w:t>more solvent as the</w:t>
      </w:r>
      <w:r w:rsidRPr="000109BE">
        <w:t xml:space="preserve"> amount of its current asset</w:t>
      </w:r>
      <w:r w:rsidR="00CA6D1A">
        <w:t>s</w:t>
      </w:r>
      <w:r w:rsidRPr="000109BE">
        <w:t xml:space="preserve"> </w:t>
      </w:r>
      <w:r w:rsidR="00CA6D1A">
        <w:t>near the value</w:t>
      </w:r>
      <w:r w:rsidRPr="000109BE">
        <w:t xml:space="preserve"> of its current liabilit</w:t>
      </w:r>
      <w:r w:rsidR="00CA6D1A">
        <w:t>ies, illustrating that Telus will be</w:t>
      </w:r>
      <w:r w:rsidRPr="000109BE">
        <w:t xml:space="preserve"> better </w:t>
      </w:r>
      <w:r w:rsidR="00CA6D1A">
        <w:t>equipped</w:t>
      </w:r>
      <w:r w:rsidRPr="000109BE">
        <w:t xml:space="preserve"> to pay its short-term liabilities. </w:t>
      </w:r>
    </w:p>
    <w:p w:rsidR="003D4C8A" w:rsidRDefault="00CA6D1A" w:rsidP="003D4C8A">
      <w:r>
        <w:lastRenderedPageBreak/>
        <w:t>Roger</w:t>
      </w:r>
      <w:r w:rsidR="00621267" w:rsidRPr="000109BE">
        <w:t>s</w:t>
      </w:r>
      <w:r>
        <w:t xml:space="preserve"> is far better positioned than Telus with respect to its liquidity (Figure </w:t>
      </w:r>
      <w:r w:rsidR="003D4C8A">
        <w:t>6</w:t>
      </w:r>
      <w:r>
        <w:t>) and has fewer liabilities (Table</w:t>
      </w:r>
      <w:r w:rsidR="003D4C8A">
        <w:t xml:space="preserve"> 7)</w:t>
      </w:r>
      <w:r w:rsidR="00621267" w:rsidRPr="000109BE">
        <w:t>.</w:t>
      </w:r>
      <w:r w:rsidR="003D4C8A">
        <w:t xml:space="preserve"> Therefore Rogers is better positioned</w:t>
      </w:r>
      <w:r w:rsidR="00621267" w:rsidRPr="000109BE">
        <w:t xml:space="preserve"> </w:t>
      </w:r>
      <w:r w:rsidR="003D4C8A">
        <w:t>with its current assets to pay</w:t>
      </w:r>
      <w:r w:rsidR="00621267" w:rsidRPr="000109BE">
        <w:t xml:space="preserve"> liabilities.</w:t>
      </w:r>
    </w:p>
    <w:p w:rsidR="003D4C8A" w:rsidRDefault="003D4C8A" w:rsidP="003D4C8A">
      <w:r>
        <w:t>Nonetheless, as can be seen in Figure 6 and Table 7, while Rogers has outperformed Telus in recent years, Telus has made significant improvements managing its liabilities. In fact, between 2009 and 2012, Telus nearly doubled its results on the current ratio and acid-test ratio signaling an increase in assets relative to liabilities.</w:t>
      </w:r>
    </w:p>
    <w:p w:rsidR="00621267" w:rsidRPr="00621267" w:rsidRDefault="003D4C8A" w:rsidP="003D4C8A">
      <w:pPr>
        <w:rPr>
          <w:rFonts w:eastAsiaTheme="minorEastAsia"/>
          <w:b/>
          <w:sz w:val="32"/>
          <w:szCs w:val="32"/>
        </w:rPr>
      </w:pPr>
      <w:r>
        <w:t>In the meantime, the current ratio and a</w:t>
      </w:r>
      <w:r w:rsidR="00621267" w:rsidRPr="000109BE">
        <w:t xml:space="preserve">cid-test ratio of Rogers </w:t>
      </w:r>
      <w:r>
        <w:t xml:space="preserve">remained stable over time (Figure 6 and Table 7), </w:t>
      </w:r>
      <w:r w:rsidR="00621267" w:rsidRPr="000109BE">
        <w:t xml:space="preserve">demonstrating that their solvency </w:t>
      </w:r>
      <w:r>
        <w:t xml:space="preserve">has </w:t>
      </w:r>
      <w:r w:rsidR="00621267" w:rsidRPr="000109BE">
        <w:t>remain</w:t>
      </w:r>
      <w:r>
        <w:t>ed</w:t>
      </w:r>
      <w:r w:rsidR="00621267" w:rsidRPr="000109BE">
        <w:t xml:space="preserve"> </w:t>
      </w:r>
      <w:r>
        <w:t>consistent</w:t>
      </w:r>
      <w:r w:rsidR="00621267" w:rsidRPr="000109BE">
        <w:t xml:space="preserve">. </w:t>
      </w:r>
      <w:r>
        <w:t>Moreover, Rogers' m</w:t>
      </w:r>
      <w:r w:rsidR="00621267" w:rsidRPr="000109BE">
        <w:t xml:space="preserve">onetary assets </w:t>
      </w:r>
      <w:r>
        <w:t>exceeded those</w:t>
      </w:r>
      <w:r w:rsidR="00621267" w:rsidRPr="000109BE">
        <w:t xml:space="preserve"> of Telus, </w:t>
      </w:r>
      <w:r>
        <w:t>indicating</w:t>
      </w:r>
      <w:r w:rsidR="00621267" w:rsidRPr="000109BE">
        <w:t xml:space="preserve"> that Rogers ha</w:t>
      </w:r>
      <w:r>
        <w:t>s</w:t>
      </w:r>
      <w:r w:rsidR="00621267" w:rsidRPr="000109BE">
        <w:t xml:space="preserve"> better liquidity than Telus. </w:t>
      </w:r>
    </w:p>
    <w:p w:rsidR="00621267" w:rsidRPr="00621267" w:rsidRDefault="00621267" w:rsidP="00621267">
      <w:pPr>
        <w:rPr>
          <w:rFonts w:eastAsiaTheme="minorEastAsia"/>
        </w:rPr>
      </w:pPr>
    </w:p>
    <w:p w:rsidR="00596D1E" w:rsidRDefault="00596D1E" w:rsidP="00596D1E">
      <w:pPr>
        <w:pStyle w:val="Normal1"/>
        <w:rPr>
          <w:rFonts w:ascii="Times New Roman" w:eastAsiaTheme="minorEastAsia" w:hAnsi="Times New Roman" w:cs="Times New Roman"/>
          <w:b/>
          <w:sz w:val="32"/>
          <w:szCs w:val="32"/>
        </w:rPr>
      </w:pPr>
      <w:r w:rsidRPr="00A56111">
        <w:rPr>
          <w:rFonts w:ascii="Times New Roman" w:eastAsiaTheme="minorEastAsia" w:hAnsi="Times New Roman" w:cs="Times New Roman"/>
          <w:b/>
          <w:noProof/>
          <w:sz w:val="32"/>
          <w:szCs w:val="32"/>
          <w:lang w:eastAsia="en-CA"/>
        </w:rPr>
        <w:drawing>
          <wp:inline distT="0" distB="0" distL="0" distR="0" wp14:anchorId="7BF01095" wp14:editId="43B92588">
            <wp:extent cx="2533650" cy="2105025"/>
            <wp:effectExtent l="19050" t="0" r="19050" b="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A56111">
        <w:rPr>
          <w:rFonts w:ascii="Times New Roman" w:eastAsiaTheme="minorEastAsia" w:hAnsi="Times New Roman" w:cs="Times New Roman"/>
          <w:b/>
          <w:noProof/>
          <w:sz w:val="32"/>
          <w:szCs w:val="32"/>
          <w:lang w:eastAsia="en-CA"/>
        </w:rPr>
        <w:drawing>
          <wp:inline distT="0" distB="0" distL="0" distR="0" wp14:anchorId="30E1A08F" wp14:editId="5AD952BB">
            <wp:extent cx="2714625" cy="2105025"/>
            <wp:effectExtent l="19050" t="0" r="9525" b="0"/>
            <wp:docPr id="1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96D1E" w:rsidRDefault="00CA6D1A" w:rsidP="00621267">
      <w:pPr>
        <w:pStyle w:val="Caption"/>
        <w:rPr>
          <w:rFonts w:eastAsiaTheme="minorEastAsia"/>
          <w:color w:val="1F497D" w:themeColor="text2"/>
        </w:rPr>
      </w:pPr>
      <w:r>
        <w:rPr>
          <w:rFonts w:eastAsiaTheme="minorEastAsia"/>
          <w:color w:val="1F497D" w:themeColor="text2"/>
        </w:rPr>
        <w:t>Figure</w:t>
      </w:r>
      <w:r w:rsidR="00621267" w:rsidRPr="00621267">
        <w:rPr>
          <w:rFonts w:eastAsiaTheme="minorEastAsia"/>
          <w:color w:val="1F497D" w:themeColor="text2"/>
        </w:rPr>
        <w:t xml:space="preserve"> </w:t>
      </w:r>
      <w:r>
        <w:rPr>
          <w:rFonts w:eastAsiaTheme="minorEastAsia"/>
          <w:color w:val="1F497D" w:themeColor="text2"/>
        </w:rPr>
        <w:t>6</w:t>
      </w:r>
      <w:r w:rsidR="00621267" w:rsidRPr="00621267">
        <w:rPr>
          <w:rFonts w:eastAsiaTheme="minorEastAsia"/>
          <w:color w:val="1F497D" w:themeColor="text2"/>
        </w:rPr>
        <w:t xml:space="preserve"> </w:t>
      </w:r>
      <w:r w:rsidR="00030723">
        <w:rPr>
          <w:rFonts w:eastAsiaTheme="minorEastAsia"/>
          <w:color w:val="1F497D" w:themeColor="text2"/>
        </w:rPr>
        <w:t>–</w:t>
      </w:r>
      <w:r w:rsidR="00621267" w:rsidRPr="00621267">
        <w:rPr>
          <w:rFonts w:eastAsiaTheme="minorEastAsia"/>
          <w:color w:val="1F497D" w:themeColor="text2"/>
        </w:rPr>
        <w:t xml:space="preserve"> </w:t>
      </w:r>
      <w:r w:rsidR="00030723">
        <w:rPr>
          <w:rFonts w:eastAsiaTheme="minorEastAsia"/>
          <w:color w:val="1F497D" w:themeColor="text2"/>
        </w:rPr>
        <w:t>Comparison of Rogers and Telus: Current and Acid-Test Ratios</w:t>
      </w:r>
    </w:p>
    <w:p w:rsidR="00621267" w:rsidRDefault="00621267" w:rsidP="00621267">
      <w:pPr>
        <w:rPr>
          <w:rFonts w:eastAsiaTheme="minorEastAsia"/>
        </w:rPr>
      </w:pPr>
    </w:p>
    <w:p w:rsidR="003D49CB" w:rsidRDefault="003D49CB" w:rsidP="00621267">
      <w:pPr>
        <w:rPr>
          <w:rFonts w:eastAsiaTheme="minorEastAsia"/>
        </w:rPr>
      </w:pPr>
    </w:p>
    <w:p w:rsidR="004C47FE" w:rsidRDefault="004C47FE">
      <w:pPr>
        <w:spacing w:before="0" w:after="0"/>
        <w:rPr>
          <w:rFonts w:eastAsiaTheme="minorEastAsia"/>
        </w:rPr>
      </w:pPr>
      <w:r>
        <w:rPr>
          <w:rFonts w:eastAsiaTheme="minorEastAsia"/>
        </w:rPr>
        <w:br w:type="page"/>
      </w:r>
    </w:p>
    <w:tbl>
      <w:tblPr>
        <w:tblStyle w:val="LightList-Accent1"/>
        <w:tblW w:w="7416" w:type="dxa"/>
        <w:jc w:val="center"/>
        <w:tblLook w:val="04A0" w:firstRow="1" w:lastRow="0" w:firstColumn="1" w:lastColumn="0" w:noHBand="0" w:noVBand="1"/>
      </w:tblPr>
      <w:tblGrid>
        <w:gridCol w:w="1800"/>
        <w:gridCol w:w="1140"/>
        <w:gridCol w:w="1140"/>
        <w:gridCol w:w="1140"/>
        <w:gridCol w:w="1140"/>
        <w:gridCol w:w="1056"/>
      </w:tblGrid>
      <w:tr w:rsidR="00596D1E" w:rsidRPr="005A0FDA" w:rsidTr="0062126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rsidR="00596D1E" w:rsidRPr="00621267" w:rsidRDefault="00596D1E" w:rsidP="00621267">
            <w:pPr>
              <w:jc w:val="center"/>
              <w:rPr>
                <w:sz w:val="20"/>
              </w:rPr>
            </w:pPr>
            <w:r w:rsidRPr="00621267">
              <w:rPr>
                <w:sz w:val="20"/>
              </w:rPr>
              <w:lastRenderedPageBreak/>
              <w:t>Index</w:t>
            </w:r>
          </w:p>
        </w:tc>
        <w:tc>
          <w:tcPr>
            <w:tcW w:w="1140" w:type="dxa"/>
            <w:noWrap/>
            <w:hideMark/>
          </w:tcPr>
          <w:p w:rsidR="00596D1E" w:rsidRPr="00621267" w:rsidRDefault="00596D1E" w:rsidP="00621267">
            <w:pPr>
              <w:jc w:val="center"/>
              <w:cnfStyle w:val="100000000000" w:firstRow="1" w:lastRow="0" w:firstColumn="0" w:lastColumn="0" w:oddVBand="0" w:evenVBand="0" w:oddHBand="0" w:evenHBand="0" w:firstRowFirstColumn="0" w:firstRowLastColumn="0" w:lastRowFirstColumn="0" w:lastRowLastColumn="0"/>
              <w:rPr>
                <w:sz w:val="20"/>
              </w:rPr>
            </w:pPr>
          </w:p>
        </w:tc>
        <w:tc>
          <w:tcPr>
            <w:tcW w:w="1140" w:type="dxa"/>
            <w:noWrap/>
            <w:hideMark/>
          </w:tcPr>
          <w:p w:rsidR="00596D1E" w:rsidRPr="00621267" w:rsidRDefault="00596D1E" w:rsidP="00621267">
            <w:pPr>
              <w:jc w:val="center"/>
              <w:cnfStyle w:val="100000000000" w:firstRow="1" w:lastRow="0" w:firstColumn="0" w:lastColumn="0" w:oddVBand="0" w:evenVBand="0" w:oddHBand="0" w:evenHBand="0" w:firstRowFirstColumn="0" w:firstRowLastColumn="0" w:lastRowFirstColumn="0" w:lastRowLastColumn="0"/>
              <w:rPr>
                <w:sz w:val="20"/>
              </w:rPr>
            </w:pPr>
            <w:r w:rsidRPr="00621267">
              <w:rPr>
                <w:sz w:val="20"/>
              </w:rPr>
              <w:t>2009</w:t>
            </w:r>
          </w:p>
        </w:tc>
        <w:tc>
          <w:tcPr>
            <w:tcW w:w="1140" w:type="dxa"/>
            <w:noWrap/>
            <w:hideMark/>
          </w:tcPr>
          <w:p w:rsidR="00596D1E" w:rsidRPr="00621267" w:rsidRDefault="00596D1E" w:rsidP="00621267">
            <w:pPr>
              <w:jc w:val="center"/>
              <w:cnfStyle w:val="100000000000" w:firstRow="1" w:lastRow="0" w:firstColumn="0" w:lastColumn="0" w:oddVBand="0" w:evenVBand="0" w:oddHBand="0" w:evenHBand="0" w:firstRowFirstColumn="0" w:firstRowLastColumn="0" w:lastRowFirstColumn="0" w:lastRowLastColumn="0"/>
              <w:rPr>
                <w:sz w:val="20"/>
              </w:rPr>
            </w:pPr>
            <w:r w:rsidRPr="00621267">
              <w:rPr>
                <w:sz w:val="20"/>
              </w:rPr>
              <w:t>2010</w:t>
            </w:r>
          </w:p>
        </w:tc>
        <w:tc>
          <w:tcPr>
            <w:tcW w:w="1140" w:type="dxa"/>
            <w:noWrap/>
            <w:hideMark/>
          </w:tcPr>
          <w:p w:rsidR="00596D1E" w:rsidRPr="00621267" w:rsidRDefault="00596D1E" w:rsidP="00621267">
            <w:pPr>
              <w:jc w:val="center"/>
              <w:cnfStyle w:val="100000000000" w:firstRow="1" w:lastRow="0" w:firstColumn="0" w:lastColumn="0" w:oddVBand="0" w:evenVBand="0" w:oddHBand="0" w:evenHBand="0" w:firstRowFirstColumn="0" w:firstRowLastColumn="0" w:lastRowFirstColumn="0" w:lastRowLastColumn="0"/>
              <w:rPr>
                <w:sz w:val="20"/>
              </w:rPr>
            </w:pPr>
            <w:r w:rsidRPr="00621267">
              <w:rPr>
                <w:sz w:val="20"/>
              </w:rPr>
              <w:t>2011</w:t>
            </w:r>
          </w:p>
        </w:tc>
        <w:tc>
          <w:tcPr>
            <w:tcW w:w="1056" w:type="dxa"/>
            <w:noWrap/>
            <w:hideMark/>
          </w:tcPr>
          <w:p w:rsidR="00596D1E" w:rsidRPr="00621267" w:rsidRDefault="00596D1E" w:rsidP="00621267">
            <w:pPr>
              <w:jc w:val="center"/>
              <w:cnfStyle w:val="100000000000" w:firstRow="1" w:lastRow="0" w:firstColumn="0" w:lastColumn="0" w:oddVBand="0" w:evenVBand="0" w:oddHBand="0" w:evenHBand="0" w:firstRowFirstColumn="0" w:firstRowLastColumn="0" w:lastRowFirstColumn="0" w:lastRowLastColumn="0"/>
              <w:rPr>
                <w:sz w:val="20"/>
              </w:rPr>
            </w:pPr>
            <w:r w:rsidRPr="00621267">
              <w:rPr>
                <w:sz w:val="20"/>
              </w:rPr>
              <w:t>2012</w:t>
            </w:r>
          </w:p>
        </w:tc>
      </w:tr>
      <w:tr w:rsidR="00596D1E" w:rsidRPr="005A0FDA" w:rsidTr="0062126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0" w:type="dxa"/>
            <w:vMerge w:val="restart"/>
            <w:hideMark/>
          </w:tcPr>
          <w:p w:rsidR="00596D1E" w:rsidRPr="00621267" w:rsidRDefault="00596D1E" w:rsidP="00621267">
            <w:pPr>
              <w:jc w:val="center"/>
              <w:rPr>
                <w:b w:val="0"/>
                <w:sz w:val="20"/>
              </w:rPr>
            </w:pPr>
            <w:r w:rsidRPr="00621267">
              <w:rPr>
                <w:b w:val="0"/>
                <w:sz w:val="20"/>
              </w:rPr>
              <w:t>Current asset</w:t>
            </w:r>
            <w:r w:rsidRPr="00621267">
              <w:rPr>
                <w:b w:val="0"/>
                <w:sz w:val="20"/>
              </w:rPr>
              <w:br/>
              <w:t>(in Millions CAD)</w:t>
            </w:r>
          </w:p>
        </w:tc>
        <w:tc>
          <w:tcPr>
            <w:tcW w:w="1140" w:type="dxa"/>
            <w:noWrap/>
            <w:hideMark/>
          </w:tcPr>
          <w:p w:rsidR="00596D1E" w:rsidRPr="00621267" w:rsidRDefault="00596D1E" w:rsidP="00621267">
            <w:pPr>
              <w:jc w:val="center"/>
              <w:cnfStyle w:val="000000100000" w:firstRow="0" w:lastRow="0" w:firstColumn="0" w:lastColumn="0" w:oddVBand="0" w:evenVBand="0" w:oddHBand="1" w:evenHBand="0" w:firstRowFirstColumn="0" w:firstRowLastColumn="0" w:lastRowFirstColumn="0" w:lastRowLastColumn="0"/>
              <w:rPr>
                <w:sz w:val="20"/>
              </w:rPr>
            </w:pPr>
            <w:r w:rsidRPr="00621267">
              <w:rPr>
                <w:sz w:val="20"/>
              </w:rPr>
              <w:t>Telus</w:t>
            </w:r>
          </w:p>
        </w:tc>
        <w:tc>
          <w:tcPr>
            <w:tcW w:w="1140" w:type="dxa"/>
            <w:hideMark/>
          </w:tcPr>
          <w:p w:rsidR="00596D1E" w:rsidRPr="00621267" w:rsidRDefault="00596D1E" w:rsidP="00621267">
            <w:pPr>
              <w:jc w:val="center"/>
              <w:cnfStyle w:val="000000100000" w:firstRow="0" w:lastRow="0" w:firstColumn="0" w:lastColumn="0" w:oddVBand="0" w:evenVBand="0" w:oddHBand="1" w:evenHBand="0" w:firstRowFirstColumn="0" w:firstRowLastColumn="0" w:lastRowFirstColumn="0" w:lastRowLastColumn="0"/>
              <w:rPr>
                <w:sz w:val="20"/>
              </w:rPr>
            </w:pPr>
            <w:r w:rsidRPr="00621267">
              <w:rPr>
                <w:sz w:val="20"/>
              </w:rPr>
              <w:t>1,127.00</w:t>
            </w:r>
          </w:p>
        </w:tc>
        <w:tc>
          <w:tcPr>
            <w:tcW w:w="1140" w:type="dxa"/>
            <w:hideMark/>
          </w:tcPr>
          <w:p w:rsidR="00596D1E" w:rsidRPr="00621267" w:rsidRDefault="00596D1E" w:rsidP="00621267">
            <w:pPr>
              <w:jc w:val="center"/>
              <w:cnfStyle w:val="000000100000" w:firstRow="0" w:lastRow="0" w:firstColumn="0" w:lastColumn="0" w:oddVBand="0" w:evenVBand="0" w:oddHBand="1" w:evenHBand="0" w:firstRowFirstColumn="0" w:firstRowLastColumn="0" w:lastRowFirstColumn="0" w:lastRowLastColumn="0"/>
              <w:rPr>
                <w:sz w:val="20"/>
              </w:rPr>
            </w:pPr>
            <w:r w:rsidRPr="00621267">
              <w:rPr>
                <w:sz w:val="20"/>
              </w:rPr>
              <w:t>1,797.00</w:t>
            </w:r>
          </w:p>
        </w:tc>
        <w:tc>
          <w:tcPr>
            <w:tcW w:w="1140" w:type="dxa"/>
            <w:hideMark/>
          </w:tcPr>
          <w:p w:rsidR="00596D1E" w:rsidRPr="00621267" w:rsidRDefault="00596D1E" w:rsidP="00621267">
            <w:pPr>
              <w:jc w:val="center"/>
              <w:cnfStyle w:val="000000100000" w:firstRow="0" w:lastRow="0" w:firstColumn="0" w:lastColumn="0" w:oddVBand="0" w:evenVBand="0" w:oddHBand="1" w:evenHBand="0" w:firstRowFirstColumn="0" w:firstRowLastColumn="0" w:lastRowFirstColumn="0" w:lastRowLastColumn="0"/>
              <w:rPr>
                <w:sz w:val="20"/>
              </w:rPr>
            </w:pPr>
            <w:r w:rsidRPr="00621267">
              <w:rPr>
                <w:sz w:val="20"/>
              </w:rPr>
              <w:t>2,051.00</w:t>
            </w:r>
          </w:p>
        </w:tc>
        <w:tc>
          <w:tcPr>
            <w:tcW w:w="1056" w:type="dxa"/>
            <w:hideMark/>
          </w:tcPr>
          <w:p w:rsidR="00596D1E" w:rsidRPr="00621267" w:rsidRDefault="00596D1E" w:rsidP="00621267">
            <w:pPr>
              <w:jc w:val="center"/>
              <w:cnfStyle w:val="000000100000" w:firstRow="0" w:lastRow="0" w:firstColumn="0" w:lastColumn="0" w:oddVBand="0" w:evenVBand="0" w:oddHBand="1" w:evenHBand="0" w:firstRowFirstColumn="0" w:firstRowLastColumn="0" w:lastRowFirstColumn="0" w:lastRowLastColumn="0"/>
              <w:rPr>
                <w:sz w:val="20"/>
              </w:rPr>
            </w:pPr>
            <w:r w:rsidRPr="00621267">
              <w:rPr>
                <w:sz w:val="20"/>
              </w:rPr>
              <w:t>2,210.00</w:t>
            </w:r>
          </w:p>
        </w:tc>
      </w:tr>
      <w:tr w:rsidR="00596D1E" w:rsidRPr="005A0FDA" w:rsidTr="00621267">
        <w:trPr>
          <w:trHeight w:val="300"/>
          <w:jc w:val="center"/>
        </w:trPr>
        <w:tc>
          <w:tcPr>
            <w:cnfStyle w:val="001000000000" w:firstRow="0" w:lastRow="0" w:firstColumn="1" w:lastColumn="0" w:oddVBand="0" w:evenVBand="0" w:oddHBand="0" w:evenHBand="0" w:firstRowFirstColumn="0" w:firstRowLastColumn="0" w:lastRowFirstColumn="0" w:lastRowLastColumn="0"/>
            <w:tcW w:w="1800" w:type="dxa"/>
            <w:vMerge/>
            <w:hideMark/>
          </w:tcPr>
          <w:p w:rsidR="00596D1E" w:rsidRPr="00621267" w:rsidRDefault="00596D1E" w:rsidP="00621267">
            <w:pPr>
              <w:jc w:val="center"/>
              <w:rPr>
                <w:sz w:val="20"/>
              </w:rPr>
            </w:pPr>
          </w:p>
        </w:tc>
        <w:tc>
          <w:tcPr>
            <w:tcW w:w="1140" w:type="dxa"/>
            <w:noWrap/>
            <w:hideMark/>
          </w:tcPr>
          <w:p w:rsidR="00596D1E" w:rsidRPr="00621267" w:rsidRDefault="00596D1E" w:rsidP="00621267">
            <w:pPr>
              <w:jc w:val="center"/>
              <w:cnfStyle w:val="000000000000" w:firstRow="0" w:lastRow="0" w:firstColumn="0" w:lastColumn="0" w:oddVBand="0" w:evenVBand="0" w:oddHBand="0" w:evenHBand="0" w:firstRowFirstColumn="0" w:firstRowLastColumn="0" w:lastRowFirstColumn="0" w:lastRowLastColumn="0"/>
              <w:rPr>
                <w:sz w:val="20"/>
              </w:rPr>
            </w:pPr>
            <w:r w:rsidRPr="00621267">
              <w:rPr>
                <w:sz w:val="20"/>
              </w:rPr>
              <w:t>Rogers</w:t>
            </w:r>
          </w:p>
        </w:tc>
        <w:tc>
          <w:tcPr>
            <w:tcW w:w="1140" w:type="dxa"/>
            <w:hideMark/>
          </w:tcPr>
          <w:p w:rsidR="00596D1E" w:rsidRPr="00621267" w:rsidRDefault="00596D1E" w:rsidP="00621267">
            <w:pPr>
              <w:jc w:val="center"/>
              <w:cnfStyle w:val="000000000000" w:firstRow="0" w:lastRow="0" w:firstColumn="0" w:lastColumn="0" w:oddVBand="0" w:evenVBand="0" w:oddHBand="0" w:evenHBand="0" w:firstRowFirstColumn="0" w:firstRowLastColumn="0" w:lastRowFirstColumn="0" w:lastRowLastColumn="0"/>
              <w:rPr>
                <w:sz w:val="20"/>
              </w:rPr>
            </w:pPr>
            <w:r w:rsidRPr="00621267">
              <w:rPr>
                <w:sz w:val="20"/>
              </w:rPr>
              <w:t>2,255.00</w:t>
            </w:r>
          </w:p>
        </w:tc>
        <w:tc>
          <w:tcPr>
            <w:tcW w:w="1140" w:type="dxa"/>
            <w:hideMark/>
          </w:tcPr>
          <w:p w:rsidR="00596D1E" w:rsidRPr="00621267" w:rsidRDefault="00596D1E" w:rsidP="00621267">
            <w:pPr>
              <w:jc w:val="center"/>
              <w:cnfStyle w:val="000000000000" w:firstRow="0" w:lastRow="0" w:firstColumn="0" w:lastColumn="0" w:oddVBand="0" w:evenVBand="0" w:oddHBand="0" w:evenHBand="0" w:firstRowFirstColumn="0" w:firstRowLastColumn="0" w:lastRowFirstColumn="0" w:lastRowLastColumn="0"/>
              <w:rPr>
                <w:sz w:val="20"/>
              </w:rPr>
            </w:pPr>
            <w:r w:rsidRPr="00621267">
              <w:rPr>
                <w:sz w:val="20"/>
              </w:rPr>
              <w:t>1,759.00</w:t>
            </w:r>
          </w:p>
        </w:tc>
        <w:tc>
          <w:tcPr>
            <w:tcW w:w="1140" w:type="dxa"/>
            <w:hideMark/>
          </w:tcPr>
          <w:p w:rsidR="00596D1E" w:rsidRPr="00621267" w:rsidRDefault="00596D1E" w:rsidP="00621267">
            <w:pPr>
              <w:jc w:val="center"/>
              <w:cnfStyle w:val="000000000000" w:firstRow="0" w:lastRow="0" w:firstColumn="0" w:lastColumn="0" w:oddVBand="0" w:evenVBand="0" w:oddHBand="0" w:evenHBand="0" w:firstRowFirstColumn="0" w:firstRowLastColumn="0" w:lastRowFirstColumn="0" w:lastRowLastColumn="0"/>
              <w:rPr>
                <w:sz w:val="20"/>
              </w:rPr>
            </w:pPr>
            <w:r w:rsidRPr="00621267">
              <w:rPr>
                <w:sz w:val="20"/>
              </w:rPr>
              <w:t>1,912.00</w:t>
            </w:r>
          </w:p>
        </w:tc>
        <w:tc>
          <w:tcPr>
            <w:tcW w:w="1056" w:type="dxa"/>
            <w:hideMark/>
          </w:tcPr>
          <w:p w:rsidR="00596D1E" w:rsidRPr="00621267" w:rsidRDefault="00596D1E" w:rsidP="00621267">
            <w:pPr>
              <w:jc w:val="center"/>
              <w:cnfStyle w:val="000000000000" w:firstRow="0" w:lastRow="0" w:firstColumn="0" w:lastColumn="0" w:oddVBand="0" w:evenVBand="0" w:oddHBand="0" w:evenHBand="0" w:firstRowFirstColumn="0" w:firstRowLastColumn="0" w:lastRowFirstColumn="0" w:lastRowLastColumn="0"/>
              <w:rPr>
                <w:sz w:val="20"/>
              </w:rPr>
            </w:pPr>
            <w:r w:rsidRPr="00621267">
              <w:rPr>
                <w:sz w:val="20"/>
              </w:rPr>
              <w:t>2,221.00</w:t>
            </w:r>
          </w:p>
        </w:tc>
      </w:tr>
      <w:tr w:rsidR="00596D1E" w:rsidRPr="005A0FDA" w:rsidTr="0062126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0" w:type="dxa"/>
            <w:vMerge w:val="restart"/>
            <w:hideMark/>
          </w:tcPr>
          <w:p w:rsidR="00596D1E" w:rsidRPr="00621267" w:rsidRDefault="00596D1E" w:rsidP="00621267">
            <w:pPr>
              <w:jc w:val="center"/>
              <w:rPr>
                <w:b w:val="0"/>
                <w:sz w:val="20"/>
              </w:rPr>
            </w:pPr>
            <w:r w:rsidRPr="00621267">
              <w:rPr>
                <w:b w:val="0"/>
                <w:sz w:val="20"/>
              </w:rPr>
              <w:t>Monetary asset</w:t>
            </w:r>
            <w:r w:rsidRPr="00621267">
              <w:rPr>
                <w:b w:val="0"/>
                <w:sz w:val="20"/>
              </w:rPr>
              <w:br/>
              <w:t>(in Millions CAD)</w:t>
            </w:r>
          </w:p>
        </w:tc>
        <w:tc>
          <w:tcPr>
            <w:tcW w:w="1140" w:type="dxa"/>
            <w:noWrap/>
            <w:hideMark/>
          </w:tcPr>
          <w:p w:rsidR="00596D1E" w:rsidRPr="00621267" w:rsidRDefault="00596D1E" w:rsidP="00621267">
            <w:pPr>
              <w:jc w:val="center"/>
              <w:cnfStyle w:val="000000100000" w:firstRow="0" w:lastRow="0" w:firstColumn="0" w:lastColumn="0" w:oddVBand="0" w:evenVBand="0" w:oddHBand="1" w:evenHBand="0" w:firstRowFirstColumn="0" w:firstRowLastColumn="0" w:lastRowFirstColumn="0" w:lastRowLastColumn="0"/>
              <w:rPr>
                <w:sz w:val="20"/>
              </w:rPr>
            </w:pPr>
            <w:r w:rsidRPr="00621267">
              <w:rPr>
                <w:sz w:val="20"/>
              </w:rPr>
              <w:t>Telus</w:t>
            </w:r>
          </w:p>
        </w:tc>
        <w:tc>
          <w:tcPr>
            <w:tcW w:w="1140" w:type="dxa"/>
            <w:noWrap/>
            <w:hideMark/>
          </w:tcPr>
          <w:p w:rsidR="00596D1E" w:rsidRPr="00621267" w:rsidRDefault="00596D1E" w:rsidP="00621267">
            <w:pPr>
              <w:jc w:val="center"/>
              <w:cnfStyle w:val="000000100000" w:firstRow="0" w:lastRow="0" w:firstColumn="0" w:lastColumn="0" w:oddVBand="0" w:evenVBand="0" w:oddHBand="1" w:evenHBand="0" w:firstRowFirstColumn="0" w:firstRowLastColumn="0" w:lastRowFirstColumn="0" w:lastRowLastColumn="0"/>
              <w:rPr>
                <w:sz w:val="20"/>
              </w:rPr>
            </w:pPr>
            <w:r w:rsidRPr="00621267">
              <w:rPr>
                <w:sz w:val="20"/>
              </w:rPr>
              <w:t>751</w:t>
            </w:r>
          </w:p>
        </w:tc>
        <w:tc>
          <w:tcPr>
            <w:tcW w:w="1140" w:type="dxa"/>
            <w:noWrap/>
            <w:hideMark/>
          </w:tcPr>
          <w:p w:rsidR="00596D1E" w:rsidRPr="00621267" w:rsidRDefault="00596D1E" w:rsidP="00621267">
            <w:pPr>
              <w:jc w:val="center"/>
              <w:cnfStyle w:val="000000100000" w:firstRow="0" w:lastRow="0" w:firstColumn="0" w:lastColumn="0" w:oddVBand="0" w:evenVBand="0" w:oddHBand="1" w:evenHBand="0" w:firstRowFirstColumn="0" w:firstRowLastColumn="0" w:lastRowFirstColumn="0" w:lastRowLastColumn="0"/>
              <w:rPr>
                <w:sz w:val="20"/>
              </w:rPr>
            </w:pPr>
            <w:r w:rsidRPr="00621267">
              <w:rPr>
                <w:sz w:val="20"/>
              </w:rPr>
              <w:t>1397</w:t>
            </w:r>
          </w:p>
        </w:tc>
        <w:tc>
          <w:tcPr>
            <w:tcW w:w="1140" w:type="dxa"/>
            <w:noWrap/>
            <w:hideMark/>
          </w:tcPr>
          <w:p w:rsidR="00596D1E" w:rsidRPr="00621267" w:rsidRDefault="00596D1E" w:rsidP="00621267">
            <w:pPr>
              <w:jc w:val="center"/>
              <w:cnfStyle w:val="000000100000" w:firstRow="0" w:lastRow="0" w:firstColumn="0" w:lastColumn="0" w:oddVBand="0" w:evenVBand="0" w:oddHBand="1" w:evenHBand="0" w:firstRowFirstColumn="0" w:firstRowLastColumn="0" w:lastRowFirstColumn="0" w:lastRowLastColumn="0"/>
              <w:rPr>
                <w:sz w:val="20"/>
              </w:rPr>
            </w:pPr>
            <w:r w:rsidRPr="00621267">
              <w:rPr>
                <w:sz w:val="20"/>
              </w:rPr>
              <w:t>1540</w:t>
            </w:r>
          </w:p>
        </w:tc>
        <w:tc>
          <w:tcPr>
            <w:tcW w:w="1056" w:type="dxa"/>
            <w:noWrap/>
            <w:hideMark/>
          </w:tcPr>
          <w:p w:rsidR="00596D1E" w:rsidRPr="00621267" w:rsidRDefault="00596D1E" w:rsidP="00621267">
            <w:pPr>
              <w:jc w:val="center"/>
              <w:cnfStyle w:val="000000100000" w:firstRow="0" w:lastRow="0" w:firstColumn="0" w:lastColumn="0" w:oddVBand="0" w:evenVBand="0" w:oddHBand="1" w:evenHBand="0" w:firstRowFirstColumn="0" w:firstRowLastColumn="0" w:lastRowFirstColumn="0" w:lastRowLastColumn="0"/>
              <w:rPr>
                <w:sz w:val="20"/>
              </w:rPr>
            </w:pPr>
            <w:r w:rsidRPr="00621267">
              <w:rPr>
                <w:sz w:val="20"/>
              </w:rPr>
              <w:t>1673</w:t>
            </w:r>
          </w:p>
        </w:tc>
      </w:tr>
      <w:tr w:rsidR="00596D1E" w:rsidRPr="005A0FDA" w:rsidTr="00621267">
        <w:trPr>
          <w:trHeight w:val="300"/>
          <w:jc w:val="center"/>
        </w:trPr>
        <w:tc>
          <w:tcPr>
            <w:cnfStyle w:val="001000000000" w:firstRow="0" w:lastRow="0" w:firstColumn="1" w:lastColumn="0" w:oddVBand="0" w:evenVBand="0" w:oddHBand="0" w:evenHBand="0" w:firstRowFirstColumn="0" w:firstRowLastColumn="0" w:lastRowFirstColumn="0" w:lastRowLastColumn="0"/>
            <w:tcW w:w="1800" w:type="dxa"/>
            <w:vMerge/>
            <w:hideMark/>
          </w:tcPr>
          <w:p w:rsidR="00596D1E" w:rsidRPr="00621267" w:rsidRDefault="00596D1E" w:rsidP="00621267">
            <w:pPr>
              <w:jc w:val="center"/>
              <w:rPr>
                <w:sz w:val="20"/>
              </w:rPr>
            </w:pPr>
          </w:p>
        </w:tc>
        <w:tc>
          <w:tcPr>
            <w:tcW w:w="1140" w:type="dxa"/>
            <w:noWrap/>
            <w:hideMark/>
          </w:tcPr>
          <w:p w:rsidR="00596D1E" w:rsidRPr="00621267" w:rsidRDefault="00596D1E" w:rsidP="00621267">
            <w:pPr>
              <w:jc w:val="center"/>
              <w:cnfStyle w:val="000000000000" w:firstRow="0" w:lastRow="0" w:firstColumn="0" w:lastColumn="0" w:oddVBand="0" w:evenVBand="0" w:oddHBand="0" w:evenHBand="0" w:firstRowFirstColumn="0" w:firstRowLastColumn="0" w:lastRowFirstColumn="0" w:lastRowLastColumn="0"/>
              <w:rPr>
                <w:sz w:val="20"/>
              </w:rPr>
            </w:pPr>
            <w:r w:rsidRPr="00621267">
              <w:rPr>
                <w:sz w:val="20"/>
              </w:rPr>
              <w:t>Rogers</w:t>
            </w:r>
          </w:p>
        </w:tc>
        <w:tc>
          <w:tcPr>
            <w:tcW w:w="1140" w:type="dxa"/>
            <w:noWrap/>
            <w:hideMark/>
          </w:tcPr>
          <w:p w:rsidR="00596D1E" w:rsidRPr="00621267" w:rsidRDefault="00596D1E" w:rsidP="00621267">
            <w:pPr>
              <w:jc w:val="center"/>
              <w:cnfStyle w:val="000000000000" w:firstRow="0" w:lastRow="0" w:firstColumn="0" w:lastColumn="0" w:oddVBand="0" w:evenVBand="0" w:oddHBand="0" w:evenHBand="0" w:firstRowFirstColumn="0" w:firstRowLastColumn="0" w:lastRowFirstColumn="0" w:lastRowLastColumn="0"/>
              <w:rPr>
                <w:sz w:val="20"/>
              </w:rPr>
            </w:pPr>
            <w:r w:rsidRPr="00621267">
              <w:rPr>
                <w:sz w:val="20"/>
              </w:rPr>
              <w:t>1693</w:t>
            </w:r>
          </w:p>
        </w:tc>
        <w:tc>
          <w:tcPr>
            <w:tcW w:w="1140" w:type="dxa"/>
            <w:noWrap/>
            <w:hideMark/>
          </w:tcPr>
          <w:p w:rsidR="00596D1E" w:rsidRPr="00621267" w:rsidRDefault="00596D1E" w:rsidP="00621267">
            <w:pPr>
              <w:jc w:val="center"/>
              <w:cnfStyle w:val="000000000000" w:firstRow="0" w:lastRow="0" w:firstColumn="0" w:lastColumn="0" w:oddVBand="0" w:evenVBand="0" w:oddHBand="0" w:evenHBand="0" w:firstRowFirstColumn="0" w:firstRowLastColumn="0" w:lastRowFirstColumn="0" w:lastRowLastColumn="0"/>
              <w:rPr>
                <w:sz w:val="20"/>
              </w:rPr>
            </w:pPr>
            <w:r w:rsidRPr="00621267">
              <w:rPr>
                <w:sz w:val="20"/>
              </w:rPr>
              <w:t>1443</w:t>
            </w:r>
          </w:p>
        </w:tc>
        <w:tc>
          <w:tcPr>
            <w:tcW w:w="1140" w:type="dxa"/>
            <w:noWrap/>
            <w:hideMark/>
          </w:tcPr>
          <w:p w:rsidR="00596D1E" w:rsidRPr="00621267" w:rsidRDefault="00596D1E" w:rsidP="00621267">
            <w:pPr>
              <w:jc w:val="center"/>
              <w:cnfStyle w:val="000000000000" w:firstRow="0" w:lastRow="0" w:firstColumn="0" w:lastColumn="0" w:oddVBand="0" w:evenVBand="0" w:oddHBand="0" w:evenHBand="0" w:firstRowFirstColumn="0" w:firstRowLastColumn="0" w:lastRowFirstColumn="0" w:lastRowLastColumn="0"/>
              <w:rPr>
                <w:sz w:val="20"/>
              </w:rPr>
            </w:pPr>
            <w:r w:rsidRPr="00621267">
              <w:rPr>
                <w:sz w:val="20"/>
              </w:rPr>
              <w:t>1574</w:t>
            </w:r>
          </w:p>
        </w:tc>
        <w:tc>
          <w:tcPr>
            <w:tcW w:w="1056" w:type="dxa"/>
            <w:noWrap/>
            <w:hideMark/>
          </w:tcPr>
          <w:p w:rsidR="00596D1E" w:rsidRPr="00621267" w:rsidRDefault="00596D1E" w:rsidP="00621267">
            <w:pPr>
              <w:jc w:val="center"/>
              <w:cnfStyle w:val="000000000000" w:firstRow="0" w:lastRow="0" w:firstColumn="0" w:lastColumn="0" w:oddVBand="0" w:evenVBand="0" w:oddHBand="0" w:evenHBand="0" w:firstRowFirstColumn="0" w:firstRowLastColumn="0" w:lastRowFirstColumn="0" w:lastRowLastColumn="0"/>
              <w:rPr>
                <w:sz w:val="20"/>
              </w:rPr>
            </w:pPr>
            <w:r w:rsidRPr="00621267">
              <w:rPr>
                <w:sz w:val="20"/>
              </w:rPr>
              <w:t>1788</w:t>
            </w:r>
          </w:p>
        </w:tc>
      </w:tr>
      <w:tr w:rsidR="00596D1E" w:rsidRPr="005A0FDA" w:rsidTr="0062126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0" w:type="dxa"/>
            <w:vMerge w:val="restart"/>
            <w:hideMark/>
          </w:tcPr>
          <w:p w:rsidR="00596D1E" w:rsidRPr="00621267" w:rsidRDefault="00596D1E" w:rsidP="00621267">
            <w:pPr>
              <w:jc w:val="center"/>
              <w:rPr>
                <w:b w:val="0"/>
                <w:sz w:val="20"/>
              </w:rPr>
            </w:pPr>
            <w:r w:rsidRPr="00621267">
              <w:rPr>
                <w:b w:val="0"/>
                <w:sz w:val="20"/>
              </w:rPr>
              <w:t>Current liabilities</w:t>
            </w:r>
            <w:r w:rsidRPr="00621267">
              <w:rPr>
                <w:b w:val="0"/>
                <w:sz w:val="20"/>
              </w:rPr>
              <w:br/>
              <w:t>(in Millions CAD)</w:t>
            </w:r>
          </w:p>
        </w:tc>
        <w:tc>
          <w:tcPr>
            <w:tcW w:w="1140" w:type="dxa"/>
            <w:noWrap/>
            <w:hideMark/>
          </w:tcPr>
          <w:p w:rsidR="00596D1E" w:rsidRPr="00621267" w:rsidRDefault="00596D1E" w:rsidP="00621267">
            <w:pPr>
              <w:jc w:val="center"/>
              <w:cnfStyle w:val="000000100000" w:firstRow="0" w:lastRow="0" w:firstColumn="0" w:lastColumn="0" w:oddVBand="0" w:evenVBand="0" w:oddHBand="1" w:evenHBand="0" w:firstRowFirstColumn="0" w:firstRowLastColumn="0" w:lastRowFirstColumn="0" w:lastRowLastColumn="0"/>
              <w:rPr>
                <w:sz w:val="20"/>
              </w:rPr>
            </w:pPr>
            <w:r w:rsidRPr="00621267">
              <w:rPr>
                <w:sz w:val="20"/>
              </w:rPr>
              <w:t>Telus</w:t>
            </w:r>
          </w:p>
        </w:tc>
        <w:tc>
          <w:tcPr>
            <w:tcW w:w="1140" w:type="dxa"/>
            <w:hideMark/>
          </w:tcPr>
          <w:p w:rsidR="00596D1E" w:rsidRPr="00621267" w:rsidRDefault="00596D1E" w:rsidP="00621267">
            <w:pPr>
              <w:jc w:val="center"/>
              <w:cnfStyle w:val="000000100000" w:firstRow="0" w:lastRow="0" w:firstColumn="0" w:lastColumn="0" w:oddVBand="0" w:evenVBand="0" w:oddHBand="1" w:evenHBand="0" w:firstRowFirstColumn="0" w:firstRowLastColumn="0" w:lastRowFirstColumn="0" w:lastRowLastColumn="0"/>
              <w:rPr>
                <w:sz w:val="20"/>
              </w:rPr>
            </w:pPr>
            <w:r w:rsidRPr="00621267">
              <w:rPr>
                <w:sz w:val="20"/>
              </w:rPr>
              <w:t>2,964.00</w:t>
            </w:r>
          </w:p>
        </w:tc>
        <w:tc>
          <w:tcPr>
            <w:tcW w:w="1140" w:type="dxa"/>
            <w:hideMark/>
          </w:tcPr>
          <w:p w:rsidR="00596D1E" w:rsidRPr="00621267" w:rsidRDefault="00596D1E" w:rsidP="00621267">
            <w:pPr>
              <w:jc w:val="center"/>
              <w:cnfStyle w:val="000000100000" w:firstRow="0" w:lastRow="0" w:firstColumn="0" w:lastColumn="0" w:oddVBand="0" w:evenVBand="0" w:oddHBand="1" w:evenHBand="0" w:firstRowFirstColumn="0" w:firstRowLastColumn="0" w:lastRowFirstColumn="0" w:lastRowLastColumn="0"/>
              <w:rPr>
                <w:sz w:val="20"/>
              </w:rPr>
            </w:pPr>
            <w:r w:rsidRPr="00621267">
              <w:rPr>
                <w:sz w:val="20"/>
              </w:rPr>
              <w:t>4,098.00</w:t>
            </w:r>
          </w:p>
        </w:tc>
        <w:tc>
          <w:tcPr>
            <w:tcW w:w="1140" w:type="dxa"/>
            <w:hideMark/>
          </w:tcPr>
          <w:p w:rsidR="00596D1E" w:rsidRPr="00621267" w:rsidRDefault="00596D1E" w:rsidP="00621267">
            <w:pPr>
              <w:jc w:val="center"/>
              <w:cnfStyle w:val="000000100000" w:firstRow="0" w:lastRow="0" w:firstColumn="0" w:lastColumn="0" w:oddVBand="0" w:evenVBand="0" w:oddHBand="1" w:evenHBand="0" w:firstRowFirstColumn="0" w:firstRowLastColumn="0" w:lastRowFirstColumn="0" w:lastRowLastColumn="0"/>
              <w:rPr>
                <w:sz w:val="20"/>
              </w:rPr>
            </w:pPr>
            <w:r w:rsidRPr="00621267">
              <w:rPr>
                <w:sz w:val="20"/>
              </w:rPr>
              <w:t>3,845.00</w:t>
            </w:r>
          </w:p>
        </w:tc>
        <w:tc>
          <w:tcPr>
            <w:tcW w:w="1056" w:type="dxa"/>
            <w:hideMark/>
          </w:tcPr>
          <w:p w:rsidR="00596D1E" w:rsidRPr="00621267" w:rsidRDefault="00596D1E" w:rsidP="00621267">
            <w:pPr>
              <w:jc w:val="center"/>
              <w:cnfStyle w:val="000000100000" w:firstRow="0" w:lastRow="0" w:firstColumn="0" w:lastColumn="0" w:oddVBand="0" w:evenVBand="0" w:oddHBand="1" w:evenHBand="0" w:firstRowFirstColumn="0" w:firstRowLastColumn="0" w:lastRowFirstColumn="0" w:lastRowLastColumn="0"/>
              <w:rPr>
                <w:sz w:val="20"/>
              </w:rPr>
            </w:pPr>
            <w:r w:rsidRPr="00621267">
              <w:rPr>
                <w:sz w:val="20"/>
              </w:rPr>
              <w:t>3,520.00</w:t>
            </w:r>
          </w:p>
        </w:tc>
      </w:tr>
      <w:tr w:rsidR="00596D1E" w:rsidRPr="005A0FDA" w:rsidTr="00621267">
        <w:trPr>
          <w:trHeight w:val="300"/>
          <w:jc w:val="center"/>
        </w:trPr>
        <w:tc>
          <w:tcPr>
            <w:cnfStyle w:val="001000000000" w:firstRow="0" w:lastRow="0" w:firstColumn="1" w:lastColumn="0" w:oddVBand="0" w:evenVBand="0" w:oddHBand="0" w:evenHBand="0" w:firstRowFirstColumn="0" w:firstRowLastColumn="0" w:lastRowFirstColumn="0" w:lastRowLastColumn="0"/>
            <w:tcW w:w="1800" w:type="dxa"/>
            <w:vMerge/>
            <w:hideMark/>
          </w:tcPr>
          <w:p w:rsidR="00596D1E" w:rsidRPr="00621267" w:rsidRDefault="00596D1E" w:rsidP="00621267">
            <w:pPr>
              <w:jc w:val="center"/>
              <w:rPr>
                <w:sz w:val="20"/>
              </w:rPr>
            </w:pPr>
          </w:p>
        </w:tc>
        <w:tc>
          <w:tcPr>
            <w:tcW w:w="1140" w:type="dxa"/>
            <w:noWrap/>
            <w:hideMark/>
          </w:tcPr>
          <w:p w:rsidR="00596D1E" w:rsidRPr="00621267" w:rsidRDefault="00596D1E" w:rsidP="00621267">
            <w:pPr>
              <w:jc w:val="center"/>
              <w:cnfStyle w:val="000000000000" w:firstRow="0" w:lastRow="0" w:firstColumn="0" w:lastColumn="0" w:oddVBand="0" w:evenVBand="0" w:oddHBand="0" w:evenHBand="0" w:firstRowFirstColumn="0" w:firstRowLastColumn="0" w:lastRowFirstColumn="0" w:lastRowLastColumn="0"/>
              <w:rPr>
                <w:sz w:val="20"/>
              </w:rPr>
            </w:pPr>
            <w:r w:rsidRPr="00621267">
              <w:rPr>
                <w:sz w:val="20"/>
              </w:rPr>
              <w:t>Rogers</w:t>
            </w:r>
          </w:p>
        </w:tc>
        <w:tc>
          <w:tcPr>
            <w:tcW w:w="1140" w:type="dxa"/>
            <w:hideMark/>
          </w:tcPr>
          <w:p w:rsidR="00596D1E" w:rsidRPr="00621267" w:rsidRDefault="00596D1E" w:rsidP="00621267">
            <w:pPr>
              <w:jc w:val="center"/>
              <w:cnfStyle w:val="000000000000" w:firstRow="0" w:lastRow="0" w:firstColumn="0" w:lastColumn="0" w:oddVBand="0" w:evenVBand="0" w:oddHBand="0" w:evenHBand="0" w:firstRowFirstColumn="0" w:firstRowLastColumn="0" w:lastRowFirstColumn="0" w:lastRowLastColumn="0"/>
              <w:rPr>
                <w:sz w:val="20"/>
              </w:rPr>
            </w:pPr>
            <w:r w:rsidRPr="00621267">
              <w:rPr>
                <w:sz w:val="20"/>
              </w:rPr>
              <w:t>2,748.00</w:t>
            </w:r>
          </w:p>
        </w:tc>
        <w:tc>
          <w:tcPr>
            <w:tcW w:w="1140" w:type="dxa"/>
            <w:hideMark/>
          </w:tcPr>
          <w:p w:rsidR="00596D1E" w:rsidRPr="00621267" w:rsidRDefault="00596D1E" w:rsidP="00621267">
            <w:pPr>
              <w:jc w:val="center"/>
              <w:cnfStyle w:val="000000000000" w:firstRow="0" w:lastRow="0" w:firstColumn="0" w:lastColumn="0" w:oddVBand="0" w:evenVBand="0" w:oddHBand="0" w:evenHBand="0" w:firstRowFirstColumn="0" w:firstRowLastColumn="0" w:lastRowFirstColumn="0" w:lastRowLastColumn="0"/>
              <w:rPr>
                <w:sz w:val="20"/>
              </w:rPr>
            </w:pPr>
            <w:r w:rsidRPr="00621267">
              <w:rPr>
                <w:sz w:val="20"/>
              </w:rPr>
              <w:t>2,833.00</w:t>
            </w:r>
          </w:p>
        </w:tc>
        <w:tc>
          <w:tcPr>
            <w:tcW w:w="1140" w:type="dxa"/>
            <w:hideMark/>
          </w:tcPr>
          <w:p w:rsidR="00596D1E" w:rsidRPr="00621267" w:rsidRDefault="00596D1E" w:rsidP="00621267">
            <w:pPr>
              <w:jc w:val="center"/>
              <w:cnfStyle w:val="000000000000" w:firstRow="0" w:lastRow="0" w:firstColumn="0" w:lastColumn="0" w:oddVBand="0" w:evenVBand="0" w:oddHBand="0" w:evenHBand="0" w:firstRowFirstColumn="0" w:firstRowLastColumn="0" w:lastRowFirstColumn="0" w:lastRowLastColumn="0"/>
              <w:rPr>
                <w:sz w:val="20"/>
              </w:rPr>
            </w:pPr>
            <w:r w:rsidRPr="00621267">
              <w:rPr>
                <w:sz w:val="20"/>
              </w:rPr>
              <w:t>2,549.00</w:t>
            </w:r>
          </w:p>
        </w:tc>
        <w:tc>
          <w:tcPr>
            <w:tcW w:w="1056" w:type="dxa"/>
            <w:hideMark/>
          </w:tcPr>
          <w:p w:rsidR="00596D1E" w:rsidRPr="00621267" w:rsidRDefault="00596D1E" w:rsidP="00621267">
            <w:pPr>
              <w:jc w:val="center"/>
              <w:cnfStyle w:val="000000000000" w:firstRow="0" w:lastRow="0" w:firstColumn="0" w:lastColumn="0" w:oddVBand="0" w:evenVBand="0" w:oddHBand="0" w:evenHBand="0" w:firstRowFirstColumn="0" w:firstRowLastColumn="0" w:lastRowFirstColumn="0" w:lastRowLastColumn="0"/>
              <w:rPr>
                <w:sz w:val="20"/>
              </w:rPr>
            </w:pPr>
            <w:r w:rsidRPr="00621267">
              <w:rPr>
                <w:sz w:val="20"/>
              </w:rPr>
              <w:t>3,002.00</w:t>
            </w:r>
          </w:p>
        </w:tc>
      </w:tr>
    </w:tbl>
    <w:p w:rsidR="00621267" w:rsidRPr="00621267" w:rsidRDefault="00621267" w:rsidP="00621267">
      <w:pPr>
        <w:pStyle w:val="Caption"/>
        <w:ind w:left="720"/>
        <w:rPr>
          <w:rFonts w:eastAsiaTheme="minorEastAsia"/>
          <w:color w:val="1F497D" w:themeColor="text2"/>
        </w:rPr>
      </w:pPr>
      <w:r w:rsidRPr="00621267">
        <w:rPr>
          <w:rFonts w:eastAsiaTheme="minorEastAsia"/>
          <w:color w:val="1F497D" w:themeColor="text2"/>
        </w:rPr>
        <w:t xml:space="preserve">Table 7 </w:t>
      </w:r>
      <w:r w:rsidR="00030723">
        <w:rPr>
          <w:rFonts w:eastAsiaTheme="minorEastAsia"/>
          <w:color w:val="1F497D" w:themeColor="text2"/>
        </w:rPr>
        <w:t>–</w:t>
      </w:r>
      <w:r w:rsidRPr="00621267">
        <w:rPr>
          <w:rFonts w:eastAsiaTheme="minorEastAsia"/>
          <w:color w:val="1F497D" w:themeColor="text2"/>
        </w:rPr>
        <w:t xml:space="preserve"> </w:t>
      </w:r>
      <w:r w:rsidR="00030723">
        <w:rPr>
          <w:rFonts w:eastAsiaTheme="minorEastAsia"/>
          <w:color w:val="1F497D" w:themeColor="text2"/>
        </w:rPr>
        <w:t>Comparison of Assets and Liabilities</w:t>
      </w:r>
    </w:p>
    <w:p w:rsidR="00596D1E" w:rsidRDefault="00596D1E" w:rsidP="00FD5014">
      <w:pPr>
        <w:pStyle w:val="Heading3"/>
        <w:rPr>
          <w:rFonts w:eastAsiaTheme="minorEastAsia"/>
        </w:rPr>
      </w:pPr>
      <w:bookmarkStart w:id="22" w:name="_Toc374518268"/>
      <w:r w:rsidRPr="000109BE">
        <w:rPr>
          <w:rFonts w:eastAsiaTheme="minorEastAsia"/>
        </w:rPr>
        <w:t>The Tests of Financial Condition</w:t>
      </w:r>
      <w:bookmarkEnd w:id="22"/>
    </w:p>
    <w:p w:rsidR="00030723" w:rsidRDefault="003D4C8A" w:rsidP="00030723">
      <w:r w:rsidRPr="00CC1169">
        <w:t xml:space="preserve">The debt to equity ratio measures a company’s leverage. Over the past few years, Rogers has seen a deterioration of its debt to equity ratio as the company significantly incurred total liabilities (from $12.5 </w:t>
      </w:r>
      <w:r w:rsidR="00030723">
        <w:t xml:space="preserve">in 2009 </w:t>
      </w:r>
      <w:r w:rsidRPr="00CC1169">
        <w:t xml:space="preserve">to $15.5 billion </w:t>
      </w:r>
      <w:r w:rsidR="00030723">
        <w:t>in</w:t>
      </w:r>
      <w:r w:rsidRPr="00CC1169">
        <w:t xml:space="preserve"> 2012), while its shareholder equity has been decreasing from $4.2 to $3.7 billion between 2009 and 2012.</w:t>
      </w:r>
      <w:r w:rsidR="00030723">
        <w:t xml:space="preserve"> The d</w:t>
      </w:r>
      <w:r w:rsidRPr="00CC1169">
        <w:t>ebt/equity ratio of Rogers ranges from 2.98 to 4.21, illustrating that total liabilities</w:t>
      </w:r>
      <w:r w:rsidR="00030723">
        <w:t xml:space="preserve"> exceeds</w:t>
      </w:r>
      <w:r w:rsidRPr="00CC1169">
        <w:t xml:space="preserve"> </w:t>
      </w:r>
      <w:r w:rsidR="00030723" w:rsidRPr="00CC1169">
        <w:t xml:space="preserve">shareholders' equity </w:t>
      </w:r>
      <w:r w:rsidR="00030723">
        <w:t xml:space="preserve">by </w:t>
      </w:r>
      <w:r w:rsidRPr="00CC1169">
        <w:t>2.98 times to 4.21 times</w:t>
      </w:r>
      <w:r w:rsidR="00EA0916">
        <w:t xml:space="preserve"> (Figure 7)</w:t>
      </w:r>
      <w:r w:rsidRPr="00CC1169">
        <w:t>.</w:t>
      </w:r>
      <w:r w:rsidR="00DB65D1">
        <w:t xml:space="preserve"> </w:t>
      </w:r>
      <w:r w:rsidR="00030723">
        <w:t xml:space="preserve">Moreover, during this time period, Rogers has incurred more </w:t>
      </w:r>
      <w:r w:rsidRPr="00CC1169">
        <w:t xml:space="preserve">long-term debt </w:t>
      </w:r>
      <w:r w:rsidR="00030723">
        <w:t>(</w:t>
      </w:r>
      <w:r w:rsidRPr="00CC1169">
        <w:t>from $8.4 to $10.4 billion dollars</w:t>
      </w:r>
      <w:r w:rsidR="00030723">
        <w:t>)</w:t>
      </w:r>
      <w:r w:rsidRPr="00CC1169">
        <w:t xml:space="preserve">. </w:t>
      </w:r>
      <w:r w:rsidR="00DB65D1">
        <w:t>Thus, with increased long-term debt, Rogers is exposed to greater risk of bankruptcy.</w:t>
      </w:r>
    </w:p>
    <w:p w:rsidR="003D4C8A" w:rsidRPr="00CC1169" w:rsidRDefault="00DB65D1" w:rsidP="00DB65D1">
      <w:pPr>
        <w:rPr>
          <w:b/>
          <w:sz w:val="28"/>
          <w:szCs w:val="28"/>
        </w:rPr>
      </w:pPr>
      <w:r>
        <w:t>On the other hand, Telus' d</w:t>
      </w:r>
      <w:r w:rsidR="003D4C8A" w:rsidRPr="00CC1169">
        <w:t xml:space="preserve">ebt/equity ratio </w:t>
      </w:r>
      <w:r>
        <w:t xml:space="preserve">has </w:t>
      </w:r>
      <w:r w:rsidR="003D4C8A" w:rsidRPr="00CC1169">
        <w:t>remain</w:t>
      </w:r>
      <w:r>
        <w:t>ed</w:t>
      </w:r>
      <w:r w:rsidR="003D4C8A" w:rsidRPr="00CC1169">
        <w:t xml:space="preserve"> stable</w:t>
      </w:r>
      <w:r>
        <w:t xml:space="preserve"> at approximately</w:t>
      </w:r>
      <w:r w:rsidR="003D4C8A" w:rsidRPr="00CC1169">
        <w:t xml:space="preserve"> 1.6, </w:t>
      </w:r>
      <w:r>
        <w:t>as has</w:t>
      </w:r>
      <w:r w:rsidR="003D4C8A" w:rsidRPr="00CC1169">
        <w:t xml:space="preserve"> shareholders' equity </w:t>
      </w:r>
      <w:r>
        <w:t>(</w:t>
      </w:r>
      <w:r w:rsidR="003D4C8A" w:rsidRPr="00CC1169">
        <w:t>$7.5 to $7.6 billion</w:t>
      </w:r>
      <w:r>
        <w:t xml:space="preserve">), while its liabilities increased from </w:t>
      </w:r>
      <w:r w:rsidRPr="00CC1169">
        <w:t>$11 to $12 billion</w:t>
      </w:r>
      <w:r w:rsidR="00EA0916">
        <w:t xml:space="preserve"> (Figure 7)</w:t>
      </w:r>
      <w:r w:rsidR="003D4C8A" w:rsidRPr="00CC1169">
        <w:t>. In sum, Telus</w:t>
      </w:r>
      <w:r w:rsidR="006A5C54">
        <w:t>’ solve</w:t>
      </w:r>
      <w:r>
        <w:t>ncy</w:t>
      </w:r>
      <w:r w:rsidR="003D4C8A" w:rsidRPr="00CC1169">
        <w:t xml:space="preserve"> is better than Rogers</w:t>
      </w:r>
      <w:r>
        <w:t xml:space="preserve"> due to its lower d</w:t>
      </w:r>
      <w:r w:rsidR="003D4C8A" w:rsidRPr="00CC1169">
        <w:t xml:space="preserve">ebt/equity ratio. However, debt/equity is </w:t>
      </w:r>
      <w:r>
        <w:t>quite</w:t>
      </w:r>
      <w:r w:rsidR="003D4C8A" w:rsidRPr="00CC1169">
        <w:t xml:space="preserve"> high</w:t>
      </w:r>
      <w:r>
        <w:t xml:space="preserve"> for both Rogers and Telus</w:t>
      </w:r>
      <w:r w:rsidR="003D4C8A" w:rsidRPr="00CC1169">
        <w:t xml:space="preserve">, </w:t>
      </w:r>
      <w:r>
        <w:t>exposing them to risk of defaulting.</w:t>
      </w:r>
    </w:p>
    <w:p w:rsidR="00596D1E" w:rsidRPr="003A0432" w:rsidRDefault="00596D1E" w:rsidP="00EA0916">
      <w:pPr>
        <w:jc w:val="center"/>
      </w:pPr>
      <w:r w:rsidRPr="000418C5">
        <w:rPr>
          <w:noProof/>
          <w:lang w:val="en-CA" w:eastAsia="en-CA"/>
        </w:rPr>
        <w:lastRenderedPageBreak/>
        <w:drawing>
          <wp:inline distT="0" distB="0" distL="0" distR="0" wp14:anchorId="42204B78" wp14:editId="6BFC10D5">
            <wp:extent cx="2619375" cy="2257425"/>
            <wp:effectExtent l="0" t="0" r="9525" b="9525"/>
            <wp:docPr id="14"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30723" w:rsidRDefault="00030723" w:rsidP="00EA0916">
      <w:pPr>
        <w:pStyle w:val="Caption"/>
        <w:ind w:left="1440"/>
        <w:rPr>
          <w:rFonts w:eastAsiaTheme="minorEastAsia"/>
          <w:color w:val="1F497D" w:themeColor="text2"/>
        </w:rPr>
      </w:pPr>
      <w:r>
        <w:rPr>
          <w:rFonts w:eastAsiaTheme="minorEastAsia"/>
          <w:color w:val="1F497D" w:themeColor="text2"/>
        </w:rPr>
        <w:t>Figure</w:t>
      </w:r>
      <w:r w:rsidRPr="00621267">
        <w:rPr>
          <w:rFonts w:eastAsiaTheme="minorEastAsia"/>
          <w:color w:val="1F497D" w:themeColor="text2"/>
        </w:rPr>
        <w:t xml:space="preserve"> </w:t>
      </w:r>
      <w:r>
        <w:rPr>
          <w:rFonts w:eastAsiaTheme="minorEastAsia"/>
          <w:color w:val="1F497D" w:themeColor="text2"/>
        </w:rPr>
        <w:t>7</w:t>
      </w:r>
      <w:r w:rsidRPr="00621267">
        <w:rPr>
          <w:rFonts w:eastAsiaTheme="minorEastAsia"/>
          <w:color w:val="1F497D" w:themeColor="text2"/>
        </w:rPr>
        <w:t xml:space="preserve"> </w:t>
      </w:r>
      <w:r>
        <w:rPr>
          <w:rFonts w:eastAsiaTheme="minorEastAsia"/>
          <w:color w:val="1F497D" w:themeColor="text2"/>
        </w:rPr>
        <w:t>–</w:t>
      </w:r>
      <w:r w:rsidRPr="00621267">
        <w:rPr>
          <w:rFonts w:eastAsiaTheme="minorEastAsia"/>
          <w:color w:val="1F497D" w:themeColor="text2"/>
        </w:rPr>
        <w:t xml:space="preserve"> </w:t>
      </w:r>
      <w:r>
        <w:rPr>
          <w:rFonts w:eastAsiaTheme="minorEastAsia"/>
          <w:color w:val="1F497D" w:themeColor="text2"/>
        </w:rPr>
        <w:t>Comparison of Rogers and Telus: Debt/Equit</w:t>
      </w:r>
      <w:r w:rsidR="00EA0916">
        <w:rPr>
          <w:rFonts w:eastAsiaTheme="minorEastAsia"/>
          <w:color w:val="1F497D" w:themeColor="text2"/>
        </w:rPr>
        <w:t>y</w:t>
      </w:r>
    </w:p>
    <w:p w:rsidR="003D4C8A" w:rsidRDefault="003D4C8A" w:rsidP="00FD5014">
      <w:pPr>
        <w:pStyle w:val="Heading3"/>
      </w:pPr>
    </w:p>
    <w:p w:rsidR="00596D1E" w:rsidRPr="00CC1169" w:rsidRDefault="002C6421" w:rsidP="00FD5014">
      <w:pPr>
        <w:pStyle w:val="Heading3"/>
      </w:pPr>
      <w:bookmarkStart w:id="23" w:name="_Toc374518269"/>
      <w:r>
        <w:t>Cash Generated by Operations/Total D</w:t>
      </w:r>
      <w:r w:rsidR="00596D1E" w:rsidRPr="00CC1169">
        <w:t>ebt</w:t>
      </w:r>
      <w:bookmarkEnd w:id="23"/>
    </w:p>
    <w:p w:rsidR="00A46A5B" w:rsidRDefault="00596D1E" w:rsidP="00EA0916">
      <w:r w:rsidRPr="00CC1169">
        <w:t>From 2009 to 2011, both Rogers and T</w:t>
      </w:r>
      <w:r w:rsidR="00EA0916">
        <w:t>elus</w:t>
      </w:r>
      <w:r w:rsidRPr="00CC1169">
        <w:t xml:space="preserve"> have </w:t>
      </w:r>
      <w:r w:rsidR="00EA0916">
        <w:t xml:space="preserve">had </w:t>
      </w:r>
      <w:r w:rsidRPr="00CC1169">
        <w:t>comparable cash flow to debt ratios</w:t>
      </w:r>
      <w:r w:rsidR="00EA0916">
        <w:t xml:space="preserve"> (Figure 8). These ratios</w:t>
      </w:r>
      <w:r w:rsidRPr="00CC1169">
        <w:t xml:space="preserve"> </w:t>
      </w:r>
      <w:r w:rsidR="00EA0916">
        <w:t xml:space="preserve">for Telus </w:t>
      </w:r>
      <w:r w:rsidRPr="00CC1169">
        <w:t>range</w:t>
      </w:r>
      <w:r w:rsidR="00EA0916">
        <w:t>d</w:t>
      </w:r>
      <w:r w:rsidRPr="00CC1169">
        <w:t xml:space="preserve"> from 47% to 37% with</w:t>
      </w:r>
      <w:r w:rsidR="00EA0916">
        <w:t xml:space="preserve"> a</w:t>
      </w:r>
      <w:r w:rsidRPr="00CC1169">
        <w:t xml:space="preserve"> general downward trend</w:t>
      </w:r>
      <w:r w:rsidR="00EA0916">
        <w:t xml:space="preserve"> and slight increase in 2012</w:t>
      </w:r>
      <w:r w:rsidRPr="00CC1169">
        <w:t xml:space="preserve">. </w:t>
      </w:r>
    </w:p>
    <w:p w:rsidR="00596D1E" w:rsidRDefault="00596D1E" w:rsidP="00EA0916">
      <w:r w:rsidRPr="00CC1169">
        <w:t>Over the same period, both companies</w:t>
      </w:r>
      <w:r w:rsidR="00EA0916">
        <w:t>’ cash flow from operations has</w:t>
      </w:r>
      <w:r w:rsidR="00A46A5B">
        <w:t xml:space="preserve"> been stable, suggesting here </w:t>
      </w:r>
      <w:r w:rsidRPr="00CC1169">
        <w:t>that their total debt has been steadily increasing. In 2012 Rogers</w:t>
      </w:r>
      <w:r w:rsidR="00A46A5B">
        <w:t>’</w:t>
      </w:r>
      <w:r w:rsidRPr="00CC1169">
        <w:t xml:space="preserve"> cash flow/debt ratio decrease</w:t>
      </w:r>
      <w:r w:rsidR="00A46A5B">
        <w:t>d</w:t>
      </w:r>
      <w:r w:rsidRPr="00CC1169">
        <w:t xml:space="preserve"> to 0.32, whereas its net income increase</w:t>
      </w:r>
      <w:r w:rsidR="00A46A5B">
        <w:t>d</w:t>
      </w:r>
      <w:r w:rsidRPr="00CC1169">
        <w:t xml:space="preserve">, thus </w:t>
      </w:r>
      <w:r w:rsidR="00A46A5B">
        <w:t>indicating</w:t>
      </w:r>
      <w:r w:rsidRPr="00CC1169">
        <w:t xml:space="preserve"> that Rogers has increased </w:t>
      </w:r>
      <w:r w:rsidR="00A46A5B">
        <w:t xml:space="preserve">its </w:t>
      </w:r>
      <w:r w:rsidRPr="00CC1169">
        <w:t xml:space="preserve">long-term debt. </w:t>
      </w:r>
    </w:p>
    <w:p w:rsidR="00EA0916" w:rsidRDefault="00EA0916" w:rsidP="00EA0916">
      <w:pPr>
        <w:spacing w:line="480" w:lineRule="auto"/>
        <w:jc w:val="center"/>
        <w:rPr>
          <w:rFonts w:ascii="Times New Roman" w:hAnsi="Times New Roman"/>
          <w:sz w:val="24"/>
        </w:rPr>
      </w:pPr>
      <w:r w:rsidRPr="00EA0916">
        <w:rPr>
          <w:rFonts w:ascii="Times New Roman" w:hAnsi="Times New Roman"/>
          <w:noProof/>
          <w:sz w:val="24"/>
          <w:lang w:val="en-CA" w:eastAsia="en-CA"/>
        </w:rPr>
        <w:lastRenderedPageBreak/>
        <w:drawing>
          <wp:inline distT="0" distB="0" distL="0" distR="0" wp14:anchorId="6B7BAF46" wp14:editId="03000FD0">
            <wp:extent cx="3861834" cy="2743200"/>
            <wp:effectExtent l="19050" t="0" r="24366" b="0"/>
            <wp:docPr id="19"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A0916" w:rsidRDefault="00EA0916" w:rsidP="00EA0916">
      <w:pPr>
        <w:pStyle w:val="Caption"/>
        <w:ind w:left="1440"/>
        <w:rPr>
          <w:rFonts w:eastAsiaTheme="minorEastAsia"/>
          <w:color w:val="1F497D" w:themeColor="text2"/>
        </w:rPr>
      </w:pPr>
      <w:r>
        <w:rPr>
          <w:rFonts w:eastAsiaTheme="minorEastAsia"/>
          <w:color w:val="1F497D" w:themeColor="text2"/>
        </w:rPr>
        <w:t>Figure 8</w:t>
      </w:r>
      <w:r w:rsidRPr="00621267">
        <w:rPr>
          <w:rFonts w:eastAsiaTheme="minorEastAsia"/>
          <w:color w:val="1F497D" w:themeColor="text2"/>
        </w:rPr>
        <w:t xml:space="preserve"> </w:t>
      </w:r>
      <w:r>
        <w:rPr>
          <w:rFonts w:eastAsiaTheme="minorEastAsia"/>
          <w:color w:val="1F497D" w:themeColor="text2"/>
        </w:rPr>
        <w:t>–</w:t>
      </w:r>
      <w:r w:rsidRPr="00621267">
        <w:rPr>
          <w:rFonts w:eastAsiaTheme="minorEastAsia"/>
          <w:color w:val="1F497D" w:themeColor="text2"/>
        </w:rPr>
        <w:t xml:space="preserve"> </w:t>
      </w:r>
      <w:r>
        <w:rPr>
          <w:rFonts w:eastAsiaTheme="minorEastAsia"/>
          <w:color w:val="1F497D" w:themeColor="text2"/>
        </w:rPr>
        <w:t>Comparison of Rogers and Telus: Cash Flow/Debt</w:t>
      </w:r>
    </w:p>
    <w:p w:rsidR="00596D1E" w:rsidRDefault="00596D1E" w:rsidP="00EA0916">
      <w:pPr>
        <w:pStyle w:val="Heading2"/>
      </w:pPr>
      <w:bookmarkStart w:id="24" w:name="_Toc374518270"/>
      <w:r>
        <w:rPr>
          <w:lang w:eastAsia="en-CA"/>
        </w:rPr>
        <w:t>Dividend Policy</w:t>
      </w:r>
      <w:bookmarkEnd w:id="24"/>
    </w:p>
    <w:p w:rsidR="00596D1E" w:rsidRPr="00CC1169" w:rsidRDefault="00DB65D1" w:rsidP="00E058FF">
      <w:pPr>
        <w:rPr>
          <w:b/>
          <w:sz w:val="28"/>
          <w:szCs w:val="28"/>
        </w:rPr>
      </w:pPr>
      <w:r>
        <w:rPr>
          <w:lang w:eastAsia="en-CA"/>
        </w:rPr>
        <w:t>In recent years, b</w:t>
      </w:r>
      <w:r w:rsidR="00596D1E" w:rsidRPr="008375C6">
        <w:rPr>
          <w:lang w:eastAsia="en-CA"/>
        </w:rPr>
        <w:t xml:space="preserve">oth Rogers and Telus have been consistently </w:t>
      </w:r>
      <w:r>
        <w:rPr>
          <w:lang w:eastAsia="en-CA"/>
        </w:rPr>
        <w:t>awarding</w:t>
      </w:r>
      <w:r w:rsidR="00596D1E" w:rsidRPr="008375C6">
        <w:rPr>
          <w:lang w:eastAsia="en-CA"/>
        </w:rPr>
        <w:t xml:space="preserve"> dividends</w:t>
      </w:r>
      <w:r w:rsidR="00E058FF">
        <w:rPr>
          <w:lang w:eastAsia="en-CA"/>
        </w:rPr>
        <w:t xml:space="preserve"> (Figure 9)</w:t>
      </w:r>
      <w:r w:rsidR="00596D1E" w:rsidRPr="008375C6">
        <w:rPr>
          <w:lang w:eastAsia="en-CA"/>
        </w:rPr>
        <w:t xml:space="preserve">. There </w:t>
      </w:r>
      <w:r w:rsidR="00E058FF">
        <w:rPr>
          <w:lang w:eastAsia="en-CA"/>
        </w:rPr>
        <w:t>was</w:t>
      </w:r>
      <w:r w:rsidR="00596D1E" w:rsidRPr="008375C6">
        <w:rPr>
          <w:lang w:eastAsia="en-CA"/>
        </w:rPr>
        <w:t xml:space="preserve"> a shift in Roger’s dividend policy in 2007/2008 when the company increased its dividend per share by a factor of 3. Following this initial growth, dividend increases have been </w:t>
      </w:r>
      <w:r w:rsidR="00596D1E">
        <w:rPr>
          <w:lang w:eastAsia="en-CA"/>
        </w:rPr>
        <w:t>approximately</w:t>
      </w:r>
      <w:r w:rsidR="00596D1E" w:rsidRPr="008375C6">
        <w:rPr>
          <w:lang w:eastAsia="en-CA"/>
        </w:rPr>
        <w:t xml:space="preserve"> equal for both companies, </w:t>
      </w:r>
      <w:r w:rsidR="00596D1E">
        <w:rPr>
          <w:lang w:eastAsia="en-CA"/>
        </w:rPr>
        <w:t>reaching</w:t>
      </w:r>
      <w:r w:rsidR="00596D1E" w:rsidRPr="008375C6">
        <w:rPr>
          <w:lang w:eastAsia="en-CA"/>
        </w:rPr>
        <w:t xml:space="preserve"> 10-11% annual growth since 2010</w:t>
      </w:r>
      <w:r w:rsidR="008120CA">
        <w:rPr>
          <w:lang w:eastAsia="en-CA"/>
        </w:rPr>
        <w:t xml:space="preserve"> (Figure 10)</w:t>
      </w:r>
      <w:r w:rsidR="00596D1E" w:rsidRPr="008375C6">
        <w:rPr>
          <w:lang w:eastAsia="en-CA"/>
        </w:rPr>
        <w:t>.</w:t>
      </w:r>
    </w:p>
    <w:p w:rsidR="00E058FF" w:rsidRDefault="00E058FF" w:rsidP="00596D1E">
      <w:pPr>
        <w:spacing w:after="0"/>
        <w:rPr>
          <w:rFonts w:ascii="Times New Roman" w:hAnsi="Times New Roman"/>
          <w:noProof/>
          <w:sz w:val="24"/>
        </w:rPr>
      </w:pPr>
    </w:p>
    <w:p w:rsidR="00E058FF" w:rsidRDefault="00E058FF" w:rsidP="00E058FF">
      <w:pPr>
        <w:spacing w:after="0"/>
        <w:jc w:val="center"/>
        <w:rPr>
          <w:rFonts w:ascii="Times New Roman" w:hAnsi="Times New Roman"/>
          <w:noProof/>
          <w:sz w:val="24"/>
        </w:rPr>
      </w:pPr>
      <w:r w:rsidRPr="00E058FF">
        <w:rPr>
          <w:rFonts w:ascii="Times New Roman" w:hAnsi="Times New Roman"/>
          <w:noProof/>
          <w:sz w:val="24"/>
          <w:lang w:val="en-CA" w:eastAsia="en-CA"/>
        </w:rPr>
        <w:drawing>
          <wp:inline distT="0" distB="0" distL="0" distR="0" wp14:anchorId="21D522D3" wp14:editId="08A5C5AF">
            <wp:extent cx="3933825" cy="2362200"/>
            <wp:effectExtent l="19050" t="0" r="9525"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058FF" w:rsidRDefault="00E058FF" w:rsidP="00E12570">
      <w:pPr>
        <w:pStyle w:val="Caption"/>
        <w:ind w:left="720"/>
        <w:rPr>
          <w:rFonts w:eastAsiaTheme="minorEastAsia"/>
          <w:color w:val="1F497D" w:themeColor="text2"/>
        </w:rPr>
      </w:pPr>
      <w:r>
        <w:rPr>
          <w:rFonts w:eastAsiaTheme="minorEastAsia"/>
          <w:color w:val="1F497D" w:themeColor="text2"/>
        </w:rPr>
        <w:t>Figure 9</w:t>
      </w:r>
      <w:r w:rsidRPr="00621267">
        <w:rPr>
          <w:rFonts w:eastAsiaTheme="minorEastAsia"/>
          <w:color w:val="1F497D" w:themeColor="text2"/>
        </w:rPr>
        <w:t xml:space="preserve"> </w:t>
      </w:r>
      <w:r>
        <w:rPr>
          <w:rFonts w:eastAsiaTheme="minorEastAsia"/>
          <w:color w:val="1F497D" w:themeColor="text2"/>
        </w:rPr>
        <w:t>–</w:t>
      </w:r>
      <w:r w:rsidRPr="00621267">
        <w:rPr>
          <w:rFonts w:eastAsiaTheme="minorEastAsia"/>
          <w:color w:val="1F497D" w:themeColor="text2"/>
        </w:rPr>
        <w:t xml:space="preserve"> </w:t>
      </w:r>
      <w:r>
        <w:rPr>
          <w:rFonts w:eastAsiaTheme="minorEastAsia"/>
          <w:color w:val="1F497D" w:themeColor="text2"/>
        </w:rPr>
        <w:t>Comparison of Rogers and Telus: Dividends per Share</w:t>
      </w:r>
    </w:p>
    <w:p w:rsidR="00E12570" w:rsidRPr="00E12570" w:rsidRDefault="00E12570" w:rsidP="00E12570"/>
    <w:p w:rsidR="00E058FF" w:rsidRDefault="00E058FF" w:rsidP="008120CA">
      <w:pPr>
        <w:spacing w:after="0"/>
        <w:jc w:val="center"/>
        <w:rPr>
          <w:rFonts w:ascii="Times New Roman" w:hAnsi="Times New Roman"/>
          <w:noProof/>
          <w:sz w:val="24"/>
        </w:rPr>
      </w:pPr>
      <w:r w:rsidRPr="00E058FF">
        <w:rPr>
          <w:rFonts w:ascii="Times New Roman" w:hAnsi="Times New Roman"/>
          <w:noProof/>
          <w:sz w:val="24"/>
          <w:lang w:val="en-CA" w:eastAsia="en-CA"/>
        </w:rPr>
        <w:drawing>
          <wp:inline distT="0" distB="0" distL="0" distR="0" wp14:anchorId="5A9D738F" wp14:editId="65671C80">
            <wp:extent cx="3990975" cy="2276475"/>
            <wp:effectExtent l="19050" t="0" r="9525"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058FF" w:rsidRDefault="00E058FF" w:rsidP="00E058FF">
      <w:pPr>
        <w:pStyle w:val="Caption"/>
        <w:ind w:left="720"/>
        <w:rPr>
          <w:rFonts w:eastAsiaTheme="minorEastAsia"/>
          <w:color w:val="1F497D" w:themeColor="text2"/>
        </w:rPr>
      </w:pPr>
      <w:r>
        <w:rPr>
          <w:rFonts w:eastAsiaTheme="minorEastAsia"/>
          <w:color w:val="1F497D" w:themeColor="text2"/>
        </w:rPr>
        <w:t>Figure 10</w:t>
      </w:r>
      <w:r w:rsidRPr="00621267">
        <w:rPr>
          <w:rFonts w:eastAsiaTheme="minorEastAsia"/>
          <w:color w:val="1F497D" w:themeColor="text2"/>
        </w:rPr>
        <w:t xml:space="preserve"> </w:t>
      </w:r>
      <w:r>
        <w:rPr>
          <w:rFonts w:eastAsiaTheme="minorEastAsia"/>
          <w:color w:val="1F497D" w:themeColor="text2"/>
        </w:rPr>
        <w:t>–</w:t>
      </w:r>
      <w:r w:rsidRPr="00621267">
        <w:rPr>
          <w:rFonts w:eastAsiaTheme="minorEastAsia"/>
          <w:color w:val="1F497D" w:themeColor="text2"/>
        </w:rPr>
        <w:t xml:space="preserve"> </w:t>
      </w:r>
      <w:r>
        <w:rPr>
          <w:rFonts w:eastAsiaTheme="minorEastAsia"/>
          <w:color w:val="1F497D" w:themeColor="text2"/>
        </w:rPr>
        <w:t>Comparison of Rogers and Telus: Dividend Growth</w:t>
      </w:r>
    </w:p>
    <w:p w:rsidR="00596D1E" w:rsidRDefault="00596D1E" w:rsidP="00BB29F2">
      <w:pPr>
        <w:rPr>
          <w:lang w:eastAsia="en-CA"/>
        </w:rPr>
      </w:pPr>
      <w:r w:rsidRPr="008375C6">
        <w:rPr>
          <w:lang w:eastAsia="en-CA"/>
        </w:rPr>
        <w:t>In terms of</w:t>
      </w:r>
      <w:r w:rsidR="00BB29F2">
        <w:rPr>
          <w:lang w:eastAsia="en-CA"/>
        </w:rPr>
        <w:t xml:space="preserve"> dividend</w:t>
      </w:r>
      <w:r w:rsidRPr="008375C6">
        <w:rPr>
          <w:lang w:eastAsia="en-CA"/>
        </w:rPr>
        <w:t xml:space="preserve"> yield, both companies have </w:t>
      </w:r>
      <w:r w:rsidR="00BB29F2">
        <w:rPr>
          <w:lang w:eastAsia="en-CA"/>
        </w:rPr>
        <w:t>experienced a similar trajectory,</w:t>
      </w:r>
      <w:r w:rsidRPr="008375C6">
        <w:rPr>
          <w:lang w:eastAsia="en-CA"/>
        </w:rPr>
        <w:t xml:space="preserve"> ranging between 3.5% and 4.5%</w:t>
      </w:r>
      <w:r>
        <w:rPr>
          <w:lang w:eastAsia="en-CA"/>
        </w:rPr>
        <w:t>, since January 2012</w:t>
      </w:r>
      <w:r w:rsidR="00BB29F2">
        <w:rPr>
          <w:lang w:eastAsia="en-CA"/>
        </w:rPr>
        <w:t xml:space="preserve"> (Figure 11).</w:t>
      </w:r>
    </w:p>
    <w:p w:rsidR="00596D1E" w:rsidRDefault="00596D1E" w:rsidP="00E12570">
      <w:pPr>
        <w:spacing w:after="0" w:line="480" w:lineRule="auto"/>
        <w:jc w:val="center"/>
        <w:rPr>
          <w:rFonts w:ascii="Times New Roman" w:hAnsi="Times New Roman"/>
          <w:sz w:val="24"/>
          <w:lang w:eastAsia="en-CA"/>
        </w:rPr>
      </w:pPr>
      <w:r>
        <w:rPr>
          <w:rFonts w:ascii="Times New Roman" w:hAnsi="Times New Roman"/>
          <w:noProof/>
          <w:sz w:val="24"/>
          <w:lang w:val="en-CA" w:eastAsia="en-CA"/>
        </w:rPr>
        <w:drawing>
          <wp:inline distT="0" distB="0" distL="0" distR="0" wp14:anchorId="3FBD3563" wp14:editId="58B5FD77">
            <wp:extent cx="4219503" cy="1771650"/>
            <wp:effectExtent l="19050" t="19050" r="9597" b="19050"/>
            <wp:docPr id="2" name="Picture 2" descr="https://lh3.googleusercontent.com/jBL311Z0sv6IMYVzMscO06xgUQpKIiAlCurspdueu7g2nVwBGQLqEsKyROdbtkZOsB8xUjd59NM2_ykhzvSfpAADybCtlacL73bvnbzptf_tymPiwZlX0Qw8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jBL311Z0sv6IMYVzMscO06xgUQpKIiAlCurspdueu7g2nVwBGQLqEsKyROdbtkZOsB8xUjd59NM2_ykhzvSfpAADybCtlacL73bvnbzptf_tymPiwZlX0Qw8sw"/>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19147" cy="1771501"/>
                    </a:xfrm>
                    <a:prstGeom prst="rect">
                      <a:avLst/>
                    </a:prstGeom>
                    <a:noFill/>
                    <a:ln>
                      <a:solidFill>
                        <a:schemeClr val="accent1"/>
                      </a:solidFill>
                    </a:ln>
                  </pic:spPr>
                </pic:pic>
              </a:graphicData>
            </a:graphic>
          </wp:inline>
        </w:drawing>
      </w:r>
    </w:p>
    <w:p w:rsidR="00BB29F2" w:rsidRPr="00BB210E" w:rsidRDefault="00E12570" w:rsidP="00E12570">
      <w:pPr>
        <w:pStyle w:val="Caption"/>
        <w:ind w:left="720"/>
        <w:rPr>
          <w:rFonts w:eastAsiaTheme="minorEastAsia"/>
          <w:i/>
          <w:color w:val="1F497D" w:themeColor="text2"/>
        </w:rPr>
      </w:pPr>
      <w:r>
        <w:rPr>
          <w:rFonts w:eastAsiaTheme="minorEastAsia"/>
          <w:color w:val="1F497D" w:themeColor="text2"/>
        </w:rPr>
        <w:t xml:space="preserve">     </w:t>
      </w:r>
      <w:r w:rsidR="00BB29F2" w:rsidRPr="00BB29F2">
        <w:rPr>
          <w:rFonts w:eastAsiaTheme="minorEastAsia"/>
          <w:color w:val="1F497D" w:themeColor="text2"/>
        </w:rPr>
        <w:t xml:space="preserve">Figure 11 – </w:t>
      </w:r>
      <w:r>
        <w:rPr>
          <w:rFonts w:eastAsiaTheme="minorEastAsia"/>
          <w:color w:val="1F497D" w:themeColor="text2"/>
        </w:rPr>
        <w:t xml:space="preserve">Rogers and </w:t>
      </w:r>
      <w:proofErr w:type="spellStart"/>
      <w:r>
        <w:rPr>
          <w:rFonts w:eastAsiaTheme="minorEastAsia"/>
          <w:color w:val="1F497D" w:themeColor="text2"/>
        </w:rPr>
        <w:t>Telus</w:t>
      </w:r>
      <w:proofErr w:type="spellEnd"/>
      <w:r>
        <w:rPr>
          <w:rFonts w:eastAsiaTheme="minorEastAsia"/>
          <w:color w:val="1F497D" w:themeColor="text2"/>
        </w:rPr>
        <w:t xml:space="preserve">: </w:t>
      </w:r>
      <w:r>
        <w:rPr>
          <w:color w:val="1F497D" w:themeColor="text2"/>
        </w:rPr>
        <w:t>Historical Dividend Y</w:t>
      </w:r>
      <w:r w:rsidR="00BB29F2" w:rsidRPr="00BB29F2">
        <w:rPr>
          <w:color w:val="1F497D" w:themeColor="text2"/>
        </w:rPr>
        <w:t>ield</w:t>
      </w:r>
      <w:r w:rsidR="00BB210E">
        <w:rPr>
          <w:color w:val="1F497D" w:themeColor="text2"/>
        </w:rPr>
        <w:t xml:space="preserve"> </w:t>
      </w:r>
      <w:r w:rsidR="00BB210E">
        <w:rPr>
          <w:i/>
          <w:color w:val="1F497D" w:themeColor="text2"/>
        </w:rPr>
        <w:t>(Google Finance)</w:t>
      </w:r>
    </w:p>
    <w:p w:rsidR="00596D1E" w:rsidRPr="008375C6" w:rsidRDefault="00213209" w:rsidP="00213209">
      <w:pPr>
        <w:rPr>
          <w:lang w:eastAsia="en-CA"/>
        </w:rPr>
      </w:pPr>
      <w:r>
        <w:rPr>
          <w:lang w:eastAsia="en-CA"/>
        </w:rPr>
        <w:t xml:space="preserve">Due to the similarities in dividend yield and growth at Rogers and Telus, other </w:t>
      </w:r>
      <w:r w:rsidR="00596D1E" w:rsidRPr="008375C6">
        <w:rPr>
          <w:lang w:eastAsia="en-CA"/>
        </w:rPr>
        <w:t xml:space="preserve">factors </w:t>
      </w:r>
      <w:r>
        <w:rPr>
          <w:lang w:eastAsia="en-CA"/>
        </w:rPr>
        <w:t>must be examined in order to provide an investment recommendation.</w:t>
      </w:r>
    </w:p>
    <w:p w:rsidR="00D623D4" w:rsidRDefault="00D623D4" w:rsidP="00213209">
      <w:pPr>
        <w:rPr>
          <w:lang w:eastAsia="en-CA"/>
        </w:rPr>
      </w:pPr>
      <w:r>
        <w:rPr>
          <w:lang w:eastAsia="en-CA"/>
        </w:rPr>
        <w:t>Of note is the</w:t>
      </w:r>
      <w:r w:rsidR="00596D1E" w:rsidRPr="008375C6">
        <w:rPr>
          <w:lang w:eastAsia="en-CA"/>
        </w:rPr>
        <w:t xml:space="preserve"> 2-for-1 stock split effective April 16, 2013 </w:t>
      </w:r>
      <w:r>
        <w:rPr>
          <w:lang w:eastAsia="en-CA"/>
        </w:rPr>
        <w:t>in</w:t>
      </w:r>
      <w:r w:rsidR="00596D1E" w:rsidRPr="008375C6">
        <w:rPr>
          <w:lang w:eastAsia="en-CA"/>
        </w:rPr>
        <w:t xml:space="preserve"> Telus</w:t>
      </w:r>
      <w:r w:rsidR="00596D1E">
        <w:rPr>
          <w:lang w:eastAsia="en-CA"/>
        </w:rPr>
        <w:t>’</w:t>
      </w:r>
      <w:r>
        <w:rPr>
          <w:lang w:eastAsia="en-CA"/>
        </w:rPr>
        <w:t xml:space="preserve"> s</w:t>
      </w:r>
      <w:r w:rsidR="00596D1E" w:rsidRPr="008375C6">
        <w:rPr>
          <w:lang w:eastAsia="en-CA"/>
        </w:rPr>
        <w:t>hares. Although</w:t>
      </w:r>
      <w:r>
        <w:rPr>
          <w:lang w:eastAsia="en-CA"/>
        </w:rPr>
        <w:t xml:space="preserve"> the</w:t>
      </w:r>
      <w:r w:rsidR="00596D1E" w:rsidRPr="008375C6">
        <w:rPr>
          <w:lang w:eastAsia="en-CA"/>
        </w:rPr>
        <w:t xml:space="preserve"> stock split does not bare any impact on </w:t>
      </w:r>
      <w:r>
        <w:rPr>
          <w:lang w:eastAsia="en-CA"/>
        </w:rPr>
        <w:t>Telus’</w:t>
      </w:r>
      <w:r w:rsidR="00596D1E" w:rsidRPr="008375C6">
        <w:rPr>
          <w:lang w:eastAsia="en-CA"/>
        </w:rPr>
        <w:t xml:space="preserve"> financial performance, </w:t>
      </w:r>
      <w:r>
        <w:rPr>
          <w:lang w:eastAsia="en-CA"/>
        </w:rPr>
        <w:t>it is likely to result in</w:t>
      </w:r>
      <w:r w:rsidR="00596D1E" w:rsidRPr="008375C6">
        <w:rPr>
          <w:lang w:eastAsia="en-CA"/>
        </w:rPr>
        <w:t xml:space="preserve"> reduced </w:t>
      </w:r>
      <w:r>
        <w:rPr>
          <w:lang w:eastAsia="en-CA"/>
        </w:rPr>
        <w:t xml:space="preserve">dividend </w:t>
      </w:r>
      <w:r w:rsidR="00596D1E" w:rsidRPr="008375C6">
        <w:rPr>
          <w:lang w:eastAsia="en-CA"/>
        </w:rPr>
        <w:t xml:space="preserve">yield. This </w:t>
      </w:r>
      <w:r>
        <w:rPr>
          <w:lang w:eastAsia="en-CA"/>
        </w:rPr>
        <w:t>may explain in part</w:t>
      </w:r>
      <w:r w:rsidR="00596D1E" w:rsidRPr="008375C6">
        <w:rPr>
          <w:lang w:eastAsia="en-CA"/>
        </w:rPr>
        <w:t xml:space="preserve"> </w:t>
      </w:r>
      <w:r w:rsidR="0012376C">
        <w:rPr>
          <w:lang w:eastAsia="en-CA"/>
        </w:rPr>
        <w:t xml:space="preserve">of </w:t>
      </w:r>
      <w:r w:rsidR="00596D1E" w:rsidRPr="008375C6">
        <w:rPr>
          <w:lang w:eastAsia="en-CA"/>
        </w:rPr>
        <w:t>the dip in Telus</w:t>
      </w:r>
      <w:r>
        <w:rPr>
          <w:lang w:eastAsia="en-CA"/>
        </w:rPr>
        <w:t>’</w:t>
      </w:r>
      <w:r w:rsidR="00596D1E" w:rsidRPr="008375C6">
        <w:rPr>
          <w:lang w:eastAsia="en-CA"/>
        </w:rPr>
        <w:t xml:space="preserve"> </w:t>
      </w:r>
      <w:r>
        <w:rPr>
          <w:lang w:eastAsia="en-CA"/>
        </w:rPr>
        <w:t xml:space="preserve">dividend </w:t>
      </w:r>
      <w:r w:rsidR="00596D1E" w:rsidRPr="008375C6">
        <w:rPr>
          <w:lang w:eastAsia="en-CA"/>
        </w:rPr>
        <w:t xml:space="preserve">yield observed </w:t>
      </w:r>
      <w:r>
        <w:rPr>
          <w:lang w:eastAsia="en-CA"/>
        </w:rPr>
        <w:t xml:space="preserve">during Q3 </w:t>
      </w:r>
      <w:r w:rsidR="00596D1E" w:rsidRPr="008375C6">
        <w:rPr>
          <w:lang w:eastAsia="en-CA"/>
        </w:rPr>
        <w:t>2013</w:t>
      </w:r>
      <w:r w:rsidR="00596D1E">
        <w:rPr>
          <w:lang w:eastAsia="en-CA"/>
        </w:rPr>
        <w:t>.</w:t>
      </w:r>
      <w:r>
        <w:rPr>
          <w:lang w:eastAsia="en-CA"/>
        </w:rPr>
        <w:t xml:space="preserve"> Given this, the market has likely already reacted to Telus’ stock split and the impact of the stock split on dividend yield should not be a major concern for potential investors.</w:t>
      </w:r>
    </w:p>
    <w:p w:rsidR="000347B9" w:rsidRDefault="00D623D4" w:rsidP="00213209">
      <w:pPr>
        <w:rPr>
          <w:lang w:eastAsia="en-CA"/>
        </w:rPr>
      </w:pPr>
      <w:r>
        <w:rPr>
          <w:lang w:eastAsia="en-CA"/>
        </w:rPr>
        <w:lastRenderedPageBreak/>
        <w:t>Based upon 2012 annual reports, Rogers and Telus both appear</w:t>
      </w:r>
      <w:r w:rsidRPr="008375C6">
        <w:rPr>
          <w:lang w:eastAsia="en-CA"/>
        </w:rPr>
        <w:t xml:space="preserve"> to be generating sufficient cash in order to maintain their dividend</w:t>
      </w:r>
      <w:r>
        <w:rPr>
          <w:lang w:eastAsia="en-CA"/>
        </w:rPr>
        <w:t xml:space="preserve"> payments.</w:t>
      </w:r>
      <w:r w:rsidR="000347B9">
        <w:rPr>
          <w:lang w:eastAsia="en-CA"/>
        </w:rPr>
        <w:t xml:space="preserve"> Specifically</w:t>
      </w:r>
      <w:r w:rsidR="00596D1E" w:rsidRPr="008375C6">
        <w:rPr>
          <w:lang w:eastAsia="en-CA"/>
        </w:rPr>
        <w:t xml:space="preserve">, Rogers reported a little over </w:t>
      </w:r>
      <w:r w:rsidR="000347B9">
        <w:rPr>
          <w:lang w:eastAsia="en-CA"/>
        </w:rPr>
        <w:t>$</w:t>
      </w:r>
      <w:r w:rsidR="00596D1E" w:rsidRPr="008375C6">
        <w:rPr>
          <w:lang w:eastAsia="en-CA"/>
        </w:rPr>
        <w:t>2 billion in free cash flows</w:t>
      </w:r>
      <w:r w:rsidR="000347B9">
        <w:rPr>
          <w:lang w:eastAsia="en-CA"/>
        </w:rPr>
        <w:t xml:space="preserve"> (FCF)</w:t>
      </w:r>
      <w:r w:rsidR="00596D1E" w:rsidRPr="008375C6">
        <w:rPr>
          <w:lang w:eastAsia="en-CA"/>
        </w:rPr>
        <w:t>, demonstrating a gain of 8</w:t>
      </w:r>
      <w:r w:rsidR="000347B9">
        <w:rPr>
          <w:lang w:eastAsia="en-CA"/>
        </w:rPr>
        <w:t>% from 2011</w:t>
      </w:r>
      <w:r w:rsidR="00596D1E" w:rsidRPr="008375C6">
        <w:rPr>
          <w:lang w:eastAsia="en-CA"/>
        </w:rPr>
        <w:t xml:space="preserve">, whereas Telus reported </w:t>
      </w:r>
      <w:r w:rsidR="000347B9">
        <w:rPr>
          <w:lang w:eastAsia="en-CA"/>
        </w:rPr>
        <w:t>$</w:t>
      </w:r>
      <w:r w:rsidR="00596D1E" w:rsidRPr="008375C6">
        <w:rPr>
          <w:lang w:eastAsia="en-CA"/>
        </w:rPr>
        <w:t xml:space="preserve">1.3 billion in FCF, </w:t>
      </w:r>
      <w:r w:rsidR="000347B9">
        <w:rPr>
          <w:lang w:eastAsia="en-CA"/>
        </w:rPr>
        <w:t>34%</w:t>
      </w:r>
      <w:r w:rsidR="00596D1E" w:rsidRPr="008375C6">
        <w:rPr>
          <w:lang w:eastAsia="en-CA"/>
        </w:rPr>
        <w:t xml:space="preserve"> growth</w:t>
      </w:r>
      <w:r w:rsidR="000347B9">
        <w:rPr>
          <w:lang w:eastAsia="en-CA"/>
        </w:rPr>
        <w:t xml:space="preserve"> from 2011</w:t>
      </w:r>
      <w:r w:rsidR="00596D1E" w:rsidRPr="008375C6">
        <w:rPr>
          <w:lang w:eastAsia="en-CA"/>
        </w:rPr>
        <w:t xml:space="preserve">. </w:t>
      </w:r>
      <w:r w:rsidR="000347B9">
        <w:rPr>
          <w:lang w:eastAsia="en-CA"/>
        </w:rPr>
        <w:t>While Rogers</w:t>
      </w:r>
      <w:r w:rsidR="00596D1E" w:rsidRPr="008375C6">
        <w:rPr>
          <w:lang w:eastAsia="en-CA"/>
        </w:rPr>
        <w:t xml:space="preserve"> has more cash </w:t>
      </w:r>
      <w:r w:rsidR="000347B9">
        <w:rPr>
          <w:lang w:eastAsia="en-CA"/>
        </w:rPr>
        <w:t xml:space="preserve">on hand than Telus and thus a greater ability to offer dividends, </w:t>
      </w:r>
      <w:r w:rsidR="00596D1E" w:rsidRPr="008375C6">
        <w:rPr>
          <w:lang w:eastAsia="en-CA"/>
        </w:rPr>
        <w:t xml:space="preserve">Telus has had a payout ratio of </w:t>
      </w:r>
      <w:r w:rsidR="00596D1E">
        <w:rPr>
          <w:lang w:eastAsia="en-CA"/>
        </w:rPr>
        <w:t>approximately</w:t>
      </w:r>
      <w:r w:rsidR="00596D1E" w:rsidRPr="008375C6">
        <w:rPr>
          <w:lang w:eastAsia="en-CA"/>
        </w:rPr>
        <w:t xml:space="preserve"> 60%, whereas Rogers has kept its payout ratio </w:t>
      </w:r>
      <w:r w:rsidR="00596D1E">
        <w:rPr>
          <w:lang w:eastAsia="en-CA"/>
        </w:rPr>
        <w:t>closer to</w:t>
      </w:r>
      <w:r w:rsidR="00596D1E" w:rsidRPr="008375C6">
        <w:rPr>
          <w:lang w:eastAsia="en-CA"/>
        </w:rPr>
        <w:t xml:space="preserve"> 50%</w:t>
      </w:r>
      <w:r w:rsidR="00547D9D">
        <w:rPr>
          <w:lang w:eastAsia="en-CA"/>
        </w:rPr>
        <w:t xml:space="preserve"> (Figure 12)</w:t>
      </w:r>
      <w:r w:rsidR="00596D1E" w:rsidRPr="008375C6">
        <w:rPr>
          <w:lang w:eastAsia="en-CA"/>
        </w:rPr>
        <w:t xml:space="preserve">. </w:t>
      </w:r>
    </w:p>
    <w:p w:rsidR="00547D9D" w:rsidRDefault="00547D9D" w:rsidP="00547D9D">
      <w:pPr>
        <w:jc w:val="center"/>
        <w:rPr>
          <w:lang w:eastAsia="en-CA"/>
        </w:rPr>
      </w:pPr>
      <w:r w:rsidRPr="00547D9D">
        <w:rPr>
          <w:noProof/>
          <w:lang w:val="en-CA" w:eastAsia="en-CA"/>
        </w:rPr>
        <w:drawing>
          <wp:inline distT="0" distB="0" distL="0" distR="0" wp14:anchorId="58C9AAA7" wp14:editId="4BA49C23">
            <wp:extent cx="4086225" cy="2190750"/>
            <wp:effectExtent l="19050" t="0" r="952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47D9D" w:rsidRPr="00547D9D" w:rsidRDefault="00547D9D" w:rsidP="00547D9D">
      <w:pPr>
        <w:pStyle w:val="Caption"/>
        <w:ind w:left="720"/>
        <w:rPr>
          <w:color w:val="1F497D" w:themeColor="text2"/>
          <w:lang w:eastAsia="en-CA"/>
        </w:rPr>
      </w:pPr>
      <w:r>
        <w:rPr>
          <w:rFonts w:eastAsiaTheme="minorEastAsia"/>
          <w:color w:val="1F497D" w:themeColor="text2"/>
        </w:rPr>
        <w:t xml:space="preserve">       </w:t>
      </w:r>
      <w:r w:rsidRPr="00547D9D">
        <w:rPr>
          <w:rFonts w:eastAsiaTheme="minorEastAsia"/>
          <w:color w:val="1F497D" w:themeColor="text2"/>
        </w:rPr>
        <w:t>F</w:t>
      </w:r>
      <w:r>
        <w:rPr>
          <w:rFonts w:eastAsiaTheme="minorEastAsia"/>
          <w:color w:val="1F497D" w:themeColor="text2"/>
        </w:rPr>
        <w:t>igure 12</w:t>
      </w:r>
      <w:r w:rsidRPr="00547D9D">
        <w:rPr>
          <w:rFonts w:eastAsiaTheme="minorEastAsia"/>
          <w:color w:val="1F497D" w:themeColor="text2"/>
        </w:rPr>
        <w:t xml:space="preserve"> – </w:t>
      </w:r>
      <w:r w:rsidRPr="00547D9D">
        <w:rPr>
          <w:color w:val="1F497D" w:themeColor="text2"/>
        </w:rPr>
        <w:t xml:space="preserve">Historical </w:t>
      </w:r>
      <w:r>
        <w:rPr>
          <w:color w:val="1F497D" w:themeColor="text2"/>
        </w:rPr>
        <w:t>Comparison of Rogers and Telus: Payout Ratio</w:t>
      </w:r>
    </w:p>
    <w:p w:rsidR="00E12570" w:rsidRDefault="00E12570" w:rsidP="00213209">
      <w:pPr>
        <w:rPr>
          <w:lang w:eastAsia="en-CA"/>
        </w:rPr>
      </w:pPr>
    </w:p>
    <w:p w:rsidR="00596D1E" w:rsidRPr="008375C6" w:rsidRDefault="00596D1E" w:rsidP="00213209">
      <w:pPr>
        <w:rPr>
          <w:lang w:eastAsia="en-CA"/>
        </w:rPr>
      </w:pPr>
      <w:r w:rsidRPr="008375C6">
        <w:rPr>
          <w:lang w:eastAsia="en-CA"/>
        </w:rPr>
        <w:t xml:space="preserve">Base on </w:t>
      </w:r>
      <w:r>
        <w:rPr>
          <w:lang w:eastAsia="en-CA"/>
        </w:rPr>
        <w:t>this information</w:t>
      </w:r>
      <w:r w:rsidRPr="008375C6">
        <w:rPr>
          <w:lang w:eastAsia="en-CA"/>
        </w:rPr>
        <w:t xml:space="preserve">, Rogers </w:t>
      </w:r>
      <w:r>
        <w:rPr>
          <w:lang w:eastAsia="en-CA"/>
        </w:rPr>
        <w:t>appears to be</w:t>
      </w:r>
      <w:r w:rsidRPr="008375C6">
        <w:rPr>
          <w:lang w:eastAsia="en-CA"/>
        </w:rPr>
        <w:t xml:space="preserve"> a safer alternative</w:t>
      </w:r>
      <w:r>
        <w:rPr>
          <w:lang w:eastAsia="en-CA"/>
        </w:rPr>
        <w:t>,</w:t>
      </w:r>
      <w:r w:rsidRPr="008375C6">
        <w:rPr>
          <w:lang w:eastAsia="en-CA"/>
        </w:rPr>
        <w:t xml:space="preserve"> </w:t>
      </w:r>
      <w:r>
        <w:rPr>
          <w:lang w:eastAsia="en-CA"/>
        </w:rPr>
        <w:t>compared to</w:t>
      </w:r>
      <w:r w:rsidRPr="008375C6">
        <w:rPr>
          <w:lang w:eastAsia="en-CA"/>
        </w:rPr>
        <w:t xml:space="preserve"> Telus</w:t>
      </w:r>
      <w:r>
        <w:rPr>
          <w:lang w:eastAsia="en-CA"/>
        </w:rPr>
        <w:t>, when focusing on dividend payouts</w:t>
      </w:r>
      <w:r w:rsidRPr="008375C6">
        <w:rPr>
          <w:lang w:eastAsia="en-CA"/>
        </w:rPr>
        <w:t>. Rogers ha</w:t>
      </w:r>
      <w:r>
        <w:rPr>
          <w:lang w:eastAsia="en-CA"/>
        </w:rPr>
        <w:t>s</w:t>
      </w:r>
      <w:r w:rsidRPr="008375C6">
        <w:rPr>
          <w:lang w:eastAsia="en-CA"/>
        </w:rPr>
        <w:t xml:space="preserve"> historically </w:t>
      </w:r>
      <w:r>
        <w:rPr>
          <w:lang w:eastAsia="en-CA"/>
        </w:rPr>
        <w:t>shown</w:t>
      </w:r>
      <w:r w:rsidRPr="008375C6">
        <w:rPr>
          <w:lang w:eastAsia="en-CA"/>
        </w:rPr>
        <w:t xml:space="preserve"> a will to impr</w:t>
      </w:r>
      <w:r w:rsidR="00E12570">
        <w:rPr>
          <w:lang w:eastAsia="en-CA"/>
        </w:rPr>
        <w:t>ove dividend payments (with significant increases in 2007 and 200</w:t>
      </w:r>
      <w:r w:rsidRPr="008375C6">
        <w:rPr>
          <w:lang w:eastAsia="en-CA"/>
        </w:rPr>
        <w:t>8), its operations generate more cash than Telus and their payout ratio is 10% lower</w:t>
      </w:r>
      <w:r>
        <w:rPr>
          <w:lang w:eastAsia="en-CA"/>
        </w:rPr>
        <w:t xml:space="preserve"> than that of Telus.</w:t>
      </w:r>
      <w:r w:rsidRPr="008375C6">
        <w:rPr>
          <w:lang w:eastAsia="en-CA"/>
        </w:rPr>
        <w:t xml:space="preserve"> </w:t>
      </w:r>
      <w:r w:rsidR="00EF5A65">
        <w:rPr>
          <w:lang w:eastAsia="en-CA"/>
        </w:rPr>
        <w:t>Moreover, as noted above (Table 1), Rogers off</w:t>
      </w:r>
      <w:r w:rsidR="003D49CB">
        <w:rPr>
          <w:lang w:eastAsia="en-CA"/>
        </w:rPr>
        <w:t>ered a higher dividend per share in the last year</w:t>
      </w:r>
      <w:r w:rsidR="00EF5A65">
        <w:rPr>
          <w:lang w:eastAsia="en-CA"/>
        </w:rPr>
        <w:t>.</w:t>
      </w:r>
      <w:r w:rsidR="003D49CB">
        <w:rPr>
          <w:lang w:eastAsia="en-CA"/>
        </w:rPr>
        <w:t xml:space="preserve"> </w:t>
      </w:r>
      <w:r>
        <w:rPr>
          <w:lang w:eastAsia="en-CA"/>
        </w:rPr>
        <w:t>Consequently,</w:t>
      </w:r>
      <w:r w:rsidRPr="008375C6">
        <w:rPr>
          <w:lang w:eastAsia="en-CA"/>
        </w:rPr>
        <w:t xml:space="preserve"> Rogers </w:t>
      </w:r>
      <w:r w:rsidR="00E12570">
        <w:rPr>
          <w:lang w:eastAsia="en-CA"/>
        </w:rPr>
        <w:t>has</w:t>
      </w:r>
      <w:r w:rsidRPr="008375C6">
        <w:rPr>
          <w:lang w:eastAsia="en-CA"/>
        </w:rPr>
        <w:t xml:space="preserve"> </w:t>
      </w:r>
      <w:r w:rsidR="00E12570">
        <w:rPr>
          <w:lang w:eastAsia="en-CA"/>
        </w:rPr>
        <w:t xml:space="preserve">the </w:t>
      </w:r>
      <w:r w:rsidRPr="008375C6">
        <w:rPr>
          <w:lang w:eastAsia="en-CA"/>
        </w:rPr>
        <w:t>potential</w:t>
      </w:r>
      <w:r w:rsidR="00E12570">
        <w:rPr>
          <w:lang w:eastAsia="en-CA"/>
        </w:rPr>
        <w:t xml:space="preserve"> to</w:t>
      </w:r>
      <w:r w:rsidRPr="008375C6">
        <w:rPr>
          <w:lang w:eastAsia="en-CA"/>
        </w:rPr>
        <w:t xml:space="preserve"> increase its dividend payment</w:t>
      </w:r>
      <w:r>
        <w:rPr>
          <w:lang w:eastAsia="en-CA"/>
        </w:rPr>
        <w:t>s in the future</w:t>
      </w:r>
      <w:r w:rsidR="00E12570">
        <w:rPr>
          <w:lang w:eastAsia="en-CA"/>
        </w:rPr>
        <w:t xml:space="preserve"> as it attempts to be on par with competitors</w:t>
      </w:r>
      <w:r w:rsidRPr="008375C6">
        <w:rPr>
          <w:lang w:eastAsia="en-CA"/>
        </w:rPr>
        <w:t>.</w:t>
      </w:r>
    </w:p>
    <w:p w:rsidR="00DB65D1" w:rsidRDefault="00DB65D1" w:rsidP="00596D1E">
      <w:pPr>
        <w:spacing w:after="0"/>
        <w:rPr>
          <w:rStyle w:val="Heading1Char"/>
        </w:rPr>
      </w:pPr>
    </w:p>
    <w:p w:rsidR="00DB65D1" w:rsidRDefault="00DB65D1" w:rsidP="00596D1E">
      <w:pPr>
        <w:spacing w:after="0"/>
        <w:rPr>
          <w:rStyle w:val="Heading1Char"/>
        </w:rPr>
      </w:pPr>
    </w:p>
    <w:p w:rsidR="00E12570" w:rsidRDefault="00E12570" w:rsidP="00596D1E">
      <w:pPr>
        <w:spacing w:after="0"/>
        <w:rPr>
          <w:rStyle w:val="Heading1Char"/>
        </w:rPr>
      </w:pPr>
    </w:p>
    <w:p w:rsidR="00596D1E" w:rsidRPr="008375C6" w:rsidRDefault="00596D1E" w:rsidP="00596D1E">
      <w:pPr>
        <w:spacing w:after="0"/>
        <w:rPr>
          <w:rFonts w:ascii="Times New Roman" w:hAnsi="Times New Roman"/>
          <w:sz w:val="24"/>
          <w:lang w:eastAsia="en-CA"/>
        </w:rPr>
      </w:pPr>
      <w:bookmarkStart w:id="25" w:name="_Toc374518271"/>
      <w:r w:rsidRPr="00596D1E">
        <w:rPr>
          <w:rStyle w:val="Heading1Char"/>
        </w:rPr>
        <w:lastRenderedPageBreak/>
        <w:t>Recommendation</w:t>
      </w:r>
      <w:bookmarkEnd w:id="25"/>
    </w:p>
    <w:p w:rsidR="00B979CF" w:rsidRDefault="00D073AE" w:rsidP="00E12570">
      <w:r>
        <w:t>Based on the data</w:t>
      </w:r>
      <w:r w:rsidR="00AD54C5">
        <w:rPr>
          <w:rStyle w:val="FootnoteReference"/>
        </w:rPr>
        <w:footnoteReference w:id="1"/>
      </w:r>
      <w:r>
        <w:t xml:space="preserve"> and arguments provided above, we recommend invest</w:t>
      </w:r>
      <w:r w:rsidR="00E37069">
        <w:t>ing</w:t>
      </w:r>
      <w:r>
        <w:t xml:space="preserve"> </w:t>
      </w:r>
      <w:r w:rsidR="002E6CCC">
        <w:t>in</w:t>
      </w:r>
      <w:r w:rsidR="00E37069">
        <w:t xml:space="preserve"> </w:t>
      </w:r>
      <w:r w:rsidR="00C86210">
        <w:t>the market leader</w:t>
      </w:r>
      <w:r w:rsidR="003842BC">
        <w:t>,</w:t>
      </w:r>
      <w:r w:rsidR="00C86210">
        <w:t xml:space="preserve"> </w:t>
      </w:r>
      <w:r w:rsidR="00E12570">
        <w:t>Rogers</w:t>
      </w:r>
      <w:r>
        <w:t xml:space="preserve"> Communication</w:t>
      </w:r>
      <w:r w:rsidR="00E37069">
        <w:t>s</w:t>
      </w:r>
      <w:r>
        <w:t xml:space="preserve"> Inc</w:t>
      </w:r>
      <w:r w:rsidR="00C86210">
        <w:t>.</w:t>
      </w:r>
      <w:r w:rsidR="003842BC">
        <w:t>,</w:t>
      </w:r>
      <w:r w:rsidR="002E6CCC">
        <w:t xml:space="preserve"> rather than Telus Corporation</w:t>
      </w:r>
      <w:r>
        <w:t>.</w:t>
      </w:r>
      <w:r w:rsidR="00B979CF">
        <w:t xml:space="preserve"> </w:t>
      </w:r>
    </w:p>
    <w:p w:rsidR="00596D1E" w:rsidRDefault="002E6CCC" w:rsidP="00E12570">
      <w:r>
        <w:t>Overall, this company</w:t>
      </w:r>
      <w:r w:rsidR="00B979CF">
        <w:t xml:space="preserve"> </w:t>
      </w:r>
      <w:r>
        <w:t>offers</w:t>
      </w:r>
      <w:r w:rsidR="00B979CF">
        <w:t xml:space="preserve"> better financials</w:t>
      </w:r>
      <w:r w:rsidR="00F97D00">
        <w:rPr>
          <w:rStyle w:val="FootnoteReference"/>
        </w:rPr>
        <w:footnoteReference w:id="2"/>
      </w:r>
      <w:r w:rsidR="00B979CF">
        <w:t>: higher profit margins, less debt, superior earnings per share and return on equity</w:t>
      </w:r>
      <w:r>
        <w:t>,</w:t>
      </w:r>
      <w:r w:rsidR="00B979CF">
        <w:t xml:space="preserve"> as well as a lower P/E ratio.</w:t>
      </w:r>
      <w:r w:rsidR="00C86210">
        <w:t xml:space="preserve"> This</w:t>
      </w:r>
      <w:r w:rsidR="000F04B7">
        <w:t xml:space="preserve"> may be due to their better investment utilization</w:t>
      </w:r>
      <w:r w:rsidR="00887E0C">
        <w:t xml:space="preserve">. They </w:t>
      </w:r>
      <w:r w:rsidR="00C86210">
        <w:t xml:space="preserve">indeed </w:t>
      </w:r>
      <w:r w:rsidR="00887E0C">
        <w:t xml:space="preserve">show better return on investment, </w:t>
      </w:r>
      <w:r w:rsidR="005C2310">
        <w:t xml:space="preserve">as well as </w:t>
      </w:r>
      <w:r w:rsidR="00887E0C">
        <w:t>better cash and inventory management. They appear</w:t>
      </w:r>
      <w:r>
        <w:t xml:space="preserve"> more efficient and more profitable than Telus</w:t>
      </w:r>
      <w:r w:rsidR="00887E0C">
        <w:t xml:space="preserve"> and the indicators discussed above suggest better potential growth and stability at Rogers</w:t>
      </w:r>
      <w:r>
        <w:t xml:space="preserve">. </w:t>
      </w:r>
    </w:p>
    <w:p w:rsidR="00C86210" w:rsidRDefault="005C2310" w:rsidP="00E12570">
      <w:r>
        <w:t>In addition, Rogers Communications</w:t>
      </w:r>
      <w:r w:rsidR="00DA279A">
        <w:t xml:space="preserve"> provides a </w:t>
      </w:r>
      <w:r>
        <w:t>greater variety of services</w:t>
      </w:r>
      <w:r w:rsidR="00DA279A">
        <w:t>, which</w:t>
      </w:r>
      <w:r>
        <w:t xml:space="preserve"> </w:t>
      </w:r>
      <w:r w:rsidR="00DA279A">
        <w:t>in turn</w:t>
      </w:r>
      <w:r>
        <w:t xml:space="preserve"> offers more opportunities for growth</w:t>
      </w:r>
      <w:r w:rsidR="00DA279A">
        <w:t>. At the same time, this breadth of services lessens the company’s vulnerability to competitors by spreading out risk.</w:t>
      </w:r>
    </w:p>
    <w:p w:rsidR="00E12570" w:rsidRDefault="00C86210" w:rsidP="00E12570">
      <w:r>
        <w:t xml:space="preserve">Moreover, </w:t>
      </w:r>
      <w:r w:rsidR="00F65690">
        <w:t>consistent growth in dividend</w:t>
      </w:r>
      <w:r w:rsidR="003842BC">
        <w:t>s</w:t>
      </w:r>
      <w:r w:rsidR="00F65690">
        <w:t xml:space="preserve"> awarded and better liquidity and solvency on Rogers’ part are of interest to potential investors.</w:t>
      </w:r>
      <w:r w:rsidR="005C2310">
        <w:t xml:space="preserve"> </w:t>
      </w:r>
    </w:p>
    <w:p w:rsidR="00E37069" w:rsidRDefault="00C86210" w:rsidP="00E12570">
      <w:pPr>
        <w:rPr>
          <w:lang w:eastAsia="en-CA"/>
        </w:rPr>
      </w:pPr>
      <w:r>
        <w:rPr>
          <w:lang w:eastAsia="en-CA"/>
        </w:rPr>
        <w:t xml:space="preserve">For all these reasons, Rogers Communications Inc. </w:t>
      </w:r>
      <w:r w:rsidR="00B979CF">
        <w:rPr>
          <w:lang w:eastAsia="en-CA"/>
        </w:rPr>
        <w:t>represent</w:t>
      </w:r>
      <w:r>
        <w:rPr>
          <w:lang w:eastAsia="en-CA"/>
        </w:rPr>
        <w:t>s</w:t>
      </w:r>
      <w:r w:rsidR="00B979CF">
        <w:rPr>
          <w:lang w:eastAsia="en-CA"/>
        </w:rPr>
        <w:t xml:space="preserve"> a sound</w:t>
      </w:r>
      <w:r w:rsidR="00F65690">
        <w:rPr>
          <w:lang w:eastAsia="en-CA"/>
        </w:rPr>
        <w:t xml:space="preserve"> and better</w:t>
      </w:r>
      <w:r w:rsidR="00B979CF">
        <w:rPr>
          <w:lang w:eastAsia="en-CA"/>
        </w:rPr>
        <w:t xml:space="preserve"> investment</w:t>
      </w:r>
      <w:r w:rsidR="00F65690">
        <w:rPr>
          <w:lang w:eastAsia="en-CA"/>
        </w:rPr>
        <w:t xml:space="preserve"> than Telus Corporation does.</w:t>
      </w:r>
    </w:p>
    <w:p w:rsidR="005201AE" w:rsidRDefault="005201AE" w:rsidP="005201AE">
      <w:pPr>
        <w:pStyle w:val="Heading1"/>
        <w:rPr>
          <w:lang w:eastAsia="en-CA"/>
        </w:rPr>
      </w:pPr>
      <w:bookmarkStart w:id="26" w:name="_Toc374518272"/>
      <w:r>
        <w:rPr>
          <w:lang w:eastAsia="en-CA"/>
        </w:rPr>
        <w:lastRenderedPageBreak/>
        <w:t>References</w:t>
      </w:r>
      <w:bookmarkEnd w:id="26"/>
    </w:p>
    <w:p w:rsidR="005201AE" w:rsidRPr="00102EFD" w:rsidRDefault="005201AE" w:rsidP="005201AE">
      <w:pPr>
        <w:rPr>
          <w:rStyle w:val="SubtleEmphasis"/>
          <w:color w:val="auto"/>
        </w:rPr>
      </w:pPr>
      <w:r w:rsidRPr="006C1891">
        <w:t>Canadian Wireless Telecommunications Association</w:t>
      </w:r>
      <w:r w:rsidR="00102EFD" w:rsidRPr="00102EFD">
        <w:rPr>
          <w:i/>
        </w:rPr>
        <w:t>,</w:t>
      </w:r>
      <w:r w:rsidRPr="00102EFD">
        <w:rPr>
          <w:i/>
        </w:rPr>
        <w:t xml:space="preserve"> </w:t>
      </w:r>
      <w:hyperlink r:id="rId33" w:history="1">
        <w:r w:rsidRPr="00102EFD">
          <w:rPr>
            <w:rStyle w:val="SubtleEmphasis"/>
            <w:color w:val="auto"/>
          </w:rPr>
          <w:t>http://cwta.ca/facts-figures/</w:t>
        </w:r>
      </w:hyperlink>
    </w:p>
    <w:p w:rsidR="005201AE" w:rsidRPr="00102EFD" w:rsidRDefault="005201AE" w:rsidP="005201AE">
      <w:pPr>
        <w:rPr>
          <w:rStyle w:val="SubtleEmphasis"/>
          <w:color w:val="auto"/>
        </w:rPr>
      </w:pPr>
      <w:r w:rsidRPr="006C1891">
        <w:rPr>
          <w:rStyle w:val="SubtleEmphasis"/>
          <w:i w:val="0"/>
          <w:color w:val="auto"/>
        </w:rPr>
        <w:t>Industry Canada</w:t>
      </w:r>
      <w:r w:rsidRPr="00102EFD">
        <w:rPr>
          <w:rStyle w:val="SubtleEmphasis"/>
          <w:color w:val="auto"/>
        </w:rPr>
        <w:t xml:space="preserve">, </w:t>
      </w:r>
      <w:hyperlink r:id="rId34" w:history="1">
        <w:r w:rsidRPr="00102EFD">
          <w:rPr>
            <w:rStyle w:val="SubtleEmphasis"/>
            <w:color w:val="auto"/>
          </w:rPr>
          <w:t>http://www.ic.gc.ca/eic/site/icgc.nsf/eng/07389.html</w:t>
        </w:r>
      </w:hyperlink>
    </w:p>
    <w:p w:rsidR="00E1220C" w:rsidRDefault="00E1220C" w:rsidP="005201AE">
      <w:pPr>
        <w:rPr>
          <w:rStyle w:val="SubtleEmphasis"/>
          <w:i w:val="0"/>
          <w:color w:val="auto"/>
        </w:rPr>
      </w:pPr>
      <w:r>
        <w:t xml:space="preserve">Google finance, </w:t>
      </w:r>
      <w:r>
        <w:rPr>
          <w:i/>
        </w:rPr>
        <w:t>https://www.google.ca/finance</w:t>
      </w:r>
      <w:r>
        <w:rPr>
          <w:rStyle w:val="SubtleEmphasis"/>
          <w:i w:val="0"/>
          <w:color w:val="auto"/>
        </w:rPr>
        <w:t xml:space="preserve"> </w:t>
      </w:r>
    </w:p>
    <w:p w:rsidR="006C1891" w:rsidRDefault="006C1891" w:rsidP="005201AE">
      <w:pPr>
        <w:rPr>
          <w:rStyle w:val="SubtleEmphasis"/>
          <w:color w:val="auto"/>
        </w:rPr>
      </w:pPr>
      <w:r w:rsidRPr="006C1891">
        <w:rPr>
          <w:rStyle w:val="SubtleEmphasis"/>
          <w:i w:val="0"/>
          <w:color w:val="auto"/>
        </w:rPr>
        <w:t>Rogers Communications Inc.</w:t>
      </w:r>
      <w:r>
        <w:rPr>
          <w:rStyle w:val="SubtleEmphasis"/>
          <w:color w:val="auto"/>
        </w:rPr>
        <w:t xml:space="preserve"> (2010). </w:t>
      </w:r>
      <w:proofErr w:type="gramStart"/>
      <w:r>
        <w:rPr>
          <w:rStyle w:val="SubtleEmphasis"/>
          <w:color w:val="auto"/>
        </w:rPr>
        <w:t>Annual Report.</w:t>
      </w:r>
      <w:proofErr w:type="gramEnd"/>
    </w:p>
    <w:p w:rsidR="006C1891" w:rsidRDefault="006C1891" w:rsidP="005201AE">
      <w:pPr>
        <w:rPr>
          <w:rStyle w:val="SubtleEmphasis"/>
          <w:color w:val="auto"/>
        </w:rPr>
      </w:pPr>
      <w:r w:rsidRPr="006C1891">
        <w:rPr>
          <w:rStyle w:val="SubtleEmphasis"/>
          <w:i w:val="0"/>
          <w:color w:val="auto"/>
        </w:rPr>
        <w:t>Rogers Communications Inc.</w:t>
      </w:r>
      <w:r>
        <w:rPr>
          <w:rStyle w:val="SubtleEmphasis"/>
          <w:color w:val="auto"/>
        </w:rPr>
        <w:t xml:space="preserve"> (2011). </w:t>
      </w:r>
      <w:proofErr w:type="gramStart"/>
      <w:r>
        <w:rPr>
          <w:rStyle w:val="SubtleEmphasis"/>
          <w:color w:val="auto"/>
        </w:rPr>
        <w:t>Annual Report.</w:t>
      </w:r>
      <w:proofErr w:type="gramEnd"/>
    </w:p>
    <w:p w:rsidR="006C1891" w:rsidRDefault="006C1891" w:rsidP="005201AE">
      <w:pPr>
        <w:rPr>
          <w:rStyle w:val="SubtleEmphasis"/>
          <w:color w:val="auto"/>
        </w:rPr>
      </w:pPr>
      <w:r w:rsidRPr="006C1891">
        <w:rPr>
          <w:rStyle w:val="SubtleEmphasis"/>
          <w:i w:val="0"/>
          <w:color w:val="auto"/>
        </w:rPr>
        <w:t>Rogers Communications Inc.</w:t>
      </w:r>
      <w:r>
        <w:rPr>
          <w:rStyle w:val="SubtleEmphasis"/>
          <w:color w:val="auto"/>
        </w:rPr>
        <w:t xml:space="preserve"> (2012). </w:t>
      </w:r>
      <w:proofErr w:type="gramStart"/>
      <w:r>
        <w:rPr>
          <w:rStyle w:val="SubtleEmphasis"/>
          <w:color w:val="auto"/>
        </w:rPr>
        <w:t>Annual Report.</w:t>
      </w:r>
      <w:proofErr w:type="gramEnd"/>
    </w:p>
    <w:p w:rsidR="00102EFD" w:rsidRPr="002422B8" w:rsidRDefault="00102EFD" w:rsidP="005201AE">
      <w:pPr>
        <w:rPr>
          <w:rStyle w:val="SubtleEmphasis"/>
          <w:color w:val="auto"/>
          <w:lang w:val="fr-CA"/>
        </w:rPr>
      </w:pPr>
      <w:r w:rsidRPr="002422B8">
        <w:rPr>
          <w:rStyle w:val="SubtleEmphasis"/>
          <w:i w:val="0"/>
          <w:color w:val="auto"/>
          <w:lang w:val="fr-CA"/>
        </w:rPr>
        <w:t>Rogers</w:t>
      </w:r>
      <w:r w:rsidR="006C1891" w:rsidRPr="002422B8">
        <w:rPr>
          <w:rStyle w:val="SubtleEmphasis"/>
          <w:i w:val="0"/>
          <w:color w:val="auto"/>
          <w:lang w:val="fr-CA"/>
        </w:rPr>
        <w:t xml:space="preserve"> Communications Inc.</w:t>
      </w:r>
      <w:r w:rsidRPr="002422B8">
        <w:rPr>
          <w:rStyle w:val="SubtleEmphasis"/>
          <w:color w:val="auto"/>
          <w:lang w:val="fr-CA"/>
        </w:rPr>
        <w:t>, https://www.rogers.com/cms/investor_relations/pdfs/2013-AGM-Presentation.pdf</w:t>
      </w:r>
    </w:p>
    <w:p w:rsidR="005201AE" w:rsidRPr="002422B8" w:rsidRDefault="006C1891" w:rsidP="005201AE">
      <w:pPr>
        <w:rPr>
          <w:lang w:val="fr-CA"/>
        </w:rPr>
      </w:pPr>
      <w:r w:rsidRPr="002422B8">
        <w:rPr>
          <w:rStyle w:val="SubtleEmphasis"/>
          <w:i w:val="0"/>
          <w:color w:val="auto"/>
          <w:lang w:val="fr-CA"/>
        </w:rPr>
        <w:t xml:space="preserve">Rogers Communications Inc. </w:t>
      </w:r>
      <w:r w:rsidR="005201AE" w:rsidRPr="002422B8">
        <w:rPr>
          <w:rStyle w:val="SubtleEmphasis"/>
          <w:color w:val="auto"/>
          <w:lang w:val="fr-CA"/>
        </w:rPr>
        <w:t>Rogers W</w:t>
      </w:r>
      <w:r w:rsidR="00102EFD" w:rsidRPr="002422B8">
        <w:rPr>
          <w:rStyle w:val="SubtleEmphasis"/>
          <w:color w:val="auto"/>
          <w:lang w:val="fr-CA"/>
        </w:rPr>
        <w:t xml:space="preserve">ireless Q4 Report, </w:t>
      </w:r>
      <w:hyperlink r:id="rId35" w:history="1">
        <w:r w:rsidR="005201AE" w:rsidRPr="002422B8">
          <w:rPr>
            <w:rStyle w:val="SubtleEmphasis"/>
            <w:color w:val="auto"/>
            <w:lang w:val="fr-CA"/>
          </w:rPr>
          <w:t>http://www.rogers.com/cms/investor_relations/pdfs/At_A_Glance_Highlights-Rogers_Wireless.pdf</w:t>
        </w:r>
      </w:hyperlink>
    </w:p>
    <w:p w:rsidR="005201AE" w:rsidRPr="002422B8" w:rsidRDefault="005201AE" w:rsidP="005201AE">
      <w:pPr>
        <w:rPr>
          <w:rStyle w:val="SubtleEmphasis"/>
          <w:color w:val="auto"/>
          <w:lang w:val="fr-CA"/>
        </w:rPr>
      </w:pPr>
      <w:r w:rsidRPr="002422B8">
        <w:rPr>
          <w:rStyle w:val="SubtleEmphasis"/>
          <w:i w:val="0"/>
          <w:color w:val="auto"/>
          <w:lang w:val="fr-CA"/>
        </w:rPr>
        <w:t>Rogers</w:t>
      </w:r>
      <w:r w:rsidR="006C1891" w:rsidRPr="002422B8">
        <w:rPr>
          <w:rStyle w:val="SubtleEmphasis"/>
          <w:i w:val="0"/>
          <w:color w:val="auto"/>
          <w:lang w:val="fr-CA"/>
        </w:rPr>
        <w:t xml:space="preserve"> Communications Inc.</w:t>
      </w:r>
      <w:r w:rsidRPr="002422B8">
        <w:rPr>
          <w:rStyle w:val="SubtleEmphasis"/>
          <w:color w:val="auto"/>
          <w:lang w:val="fr-CA"/>
        </w:rPr>
        <w:t xml:space="preserve">, </w:t>
      </w:r>
      <w:hyperlink r:id="rId36" w:history="1">
        <w:r w:rsidRPr="002422B8">
          <w:rPr>
            <w:rStyle w:val="SubtleEmphasis"/>
            <w:color w:val="auto"/>
            <w:lang w:val="fr-CA"/>
          </w:rPr>
          <w:t>https://www.rogers.com/web/Rogers.portal?_nfpb=true&amp;_windowLabel=investor_1_1&amp;investor_1_1_actionOverride=%2Fportlets%2Fconsumer%2Finvestor%2FshowLandingPageAction&amp;_pageLabel=IR_LANDING</w:t>
        </w:r>
      </w:hyperlink>
    </w:p>
    <w:p w:rsidR="008A5918" w:rsidRDefault="008A5918" w:rsidP="005201AE">
      <w:pPr>
        <w:rPr>
          <w:rStyle w:val="SubtleEmphasis"/>
          <w:color w:val="auto"/>
          <w:szCs w:val="22"/>
        </w:rPr>
      </w:pPr>
      <w:r>
        <w:rPr>
          <w:rStyle w:val="SubtleEmphasis"/>
          <w:i w:val="0"/>
          <w:color w:val="auto"/>
          <w:szCs w:val="22"/>
        </w:rPr>
        <w:t xml:space="preserve">Telus Corporation </w:t>
      </w:r>
      <w:r>
        <w:rPr>
          <w:rStyle w:val="SubtleEmphasis"/>
          <w:color w:val="auto"/>
          <w:szCs w:val="22"/>
        </w:rPr>
        <w:t xml:space="preserve">(2010). </w:t>
      </w:r>
      <w:proofErr w:type="gramStart"/>
      <w:r>
        <w:rPr>
          <w:rStyle w:val="SubtleEmphasis"/>
          <w:color w:val="auto"/>
          <w:szCs w:val="22"/>
        </w:rPr>
        <w:t>Annual Report.</w:t>
      </w:r>
      <w:proofErr w:type="gramEnd"/>
    </w:p>
    <w:p w:rsidR="008A5918" w:rsidRDefault="008A5918" w:rsidP="005201AE">
      <w:pPr>
        <w:rPr>
          <w:rStyle w:val="SubtleEmphasis"/>
          <w:color w:val="auto"/>
          <w:szCs w:val="22"/>
        </w:rPr>
      </w:pPr>
      <w:r>
        <w:rPr>
          <w:rStyle w:val="SubtleEmphasis"/>
          <w:i w:val="0"/>
          <w:color w:val="auto"/>
          <w:szCs w:val="22"/>
        </w:rPr>
        <w:t xml:space="preserve">Telus Corporation </w:t>
      </w:r>
      <w:r>
        <w:rPr>
          <w:rStyle w:val="SubtleEmphasis"/>
          <w:color w:val="auto"/>
          <w:szCs w:val="22"/>
        </w:rPr>
        <w:t xml:space="preserve">(2011). </w:t>
      </w:r>
      <w:proofErr w:type="gramStart"/>
      <w:r>
        <w:rPr>
          <w:rStyle w:val="SubtleEmphasis"/>
          <w:color w:val="auto"/>
          <w:szCs w:val="22"/>
        </w:rPr>
        <w:t>Annual Report.</w:t>
      </w:r>
      <w:proofErr w:type="gramEnd"/>
    </w:p>
    <w:p w:rsidR="008A5918" w:rsidRPr="008A5918" w:rsidRDefault="008A5918" w:rsidP="005201AE">
      <w:pPr>
        <w:rPr>
          <w:rStyle w:val="SubtleEmphasis"/>
          <w:i w:val="0"/>
          <w:color w:val="auto"/>
          <w:szCs w:val="22"/>
        </w:rPr>
      </w:pPr>
      <w:r>
        <w:rPr>
          <w:rStyle w:val="SubtleEmphasis"/>
          <w:i w:val="0"/>
          <w:color w:val="auto"/>
          <w:szCs w:val="22"/>
        </w:rPr>
        <w:t xml:space="preserve">Telus Corporation </w:t>
      </w:r>
      <w:r>
        <w:rPr>
          <w:rStyle w:val="SubtleEmphasis"/>
          <w:color w:val="auto"/>
          <w:szCs w:val="22"/>
        </w:rPr>
        <w:t xml:space="preserve">(2012). </w:t>
      </w:r>
      <w:proofErr w:type="gramStart"/>
      <w:r>
        <w:rPr>
          <w:rStyle w:val="SubtleEmphasis"/>
          <w:color w:val="auto"/>
          <w:szCs w:val="22"/>
        </w:rPr>
        <w:t>Annual Report.</w:t>
      </w:r>
      <w:proofErr w:type="gramEnd"/>
    </w:p>
    <w:p w:rsidR="005D73B8" w:rsidRDefault="005D73B8" w:rsidP="005201AE">
      <w:pPr>
        <w:rPr>
          <w:rStyle w:val="SubtleEmphasis"/>
          <w:color w:val="auto"/>
        </w:rPr>
      </w:pPr>
      <w:r w:rsidRPr="006C1891">
        <w:rPr>
          <w:rStyle w:val="SubtleEmphasis"/>
          <w:i w:val="0"/>
          <w:color w:val="auto"/>
          <w:szCs w:val="22"/>
        </w:rPr>
        <w:t>Telus</w:t>
      </w:r>
      <w:r w:rsidR="006C1891" w:rsidRPr="006C1891">
        <w:rPr>
          <w:rStyle w:val="SubtleEmphasis"/>
          <w:i w:val="0"/>
          <w:color w:val="auto"/>
          <w:szCs w:val="22"/>
        </w:rPr>
        <w:t xml:space="preserve"> Corporation</w:t>
      </w:r>
      <w:r w:rsidRPr="00102EFD">
        <w:rPr>
          <w:rStyle w:val="SubtleEmphasis"/>
          <w:color w:val="auto"/>
          <w:szCs w:val="22"/>
        </w:rPr>
        <w:t xml:space="preserve">, </w:t>
      </w:r>
      <w:hyperlink r:id="rId37" w:history="1">
        <w:r w:rsidRPr="00102EFD">
          <w:rPr>
            <w:rStyle w:val="SubtleEmphasis"/>
            <w:color w:val="auto"/>
          </w:rPr>
          <w:t>http://about.telus.com/community/english/investor_relations</w:t>
        </w:r>
      </w:hyperlink>
    </w:p>
    <w:p w:rsidR="008A587F" w:rsidRPr="00A46E75" w:rsidRDefault="008A587F">
      <w:pPr>
        <w:spacing w:before="0" w:after="0"/>
        <w:rPr>
          <w:iCs/>
        </w:rPr>
      </w:pPr>
      <w:r>
        <w:rPr>
          <w:rStyle w:val="SubtleEmphasis"/>
          <w:i w:val="0"/>
          <w:color w:val="auto"/>
        </w:rPr>
        <w:br w:type="page"/>
      </w:r>
    </w:p>
    <w:p w:rsidR="008A587F" w:rsidRDefault="008A587F" w:rsidP="008A587F">
      <w:pPr>
        <w:pStyle w:val="Heading1"/>
        <w:rPr>
          <w:lang w:eastAsia="en-CA"/>
        </w:rPr>
      </w:pPr>
      <w:bookmarkStart w:id="27" w:name="_Toc374518273"/>
      <w:r>
        <w:rPr>
          <w:lang w:eastAsia="en-CA"/>
        </w:rPr>
        <w:lastRenderedPageBreak/>
        <w:t>Appendix A</w:t>
      </w:r>
      <w:bookmarkEnd w:id="27"/>
    </w:p>
    <w:p w:rsidR="00654983" w:rsidRDefault="008A587F" w:rsidP="00F52A35">
      <w:pPr>
        <w:jc w:val="center"/>
        <w:rPr>
          <w:noProof/>
          <w:lang w:eastAsia="zh-CN" w:bidi="hi-IN"/>
        </w:rPr>
      </w:pPr>
      <w:r>
        <w:rPr>
          <w:lang w:eastAsia="en-CA"/>
        </w:rPr>
        <w:t xml:space="preserve">Rogers Communications Inc.’s </w:t>
      </w:r>
      <w:r w:rsidR="00F52A35">
        <w:rPr>
          <w:lang w:eastAsia="en-CA"/>
        </w:rPr>
        <w:t xml:space="preserve">and Telus Corporation </w:t>
      </w:r>
      <w:r w:rsidR="00F80618">
        <w:rPr>
          <w:lang w:eastAsia="en-CA"/>
        </w:rPr>
        <w:t xml:space="preserve">Consolidated </w:t>
      </w:r>
      <w:r>
        <w:rPr>
          <w:lang w:eastAsia="en-CA"/>
        </w:rPr>
        <w:t>Financial Statements for the Years 2010 through 2012</w:t>
      </w:r>
      <w:r w:rsidR="00F52A35">
        <w:rPr>
          <w:lang w:eastAsia="en-CA"/>
        </w:rPr>
        <w:t xml:space="preserve"> (Excluding Notes</w:t>
      </w:r>
      <w:r w:rsidR="00F52A35">
        <w:rPr>
          <w:noProof/>
          <w:lang w:eastAsia="zh-CN" w:bidi="hi-IN"/>
        </w:rPr>
        <w:t>)</w:t>
      </w:r>
    </w:p>
    <w:p w:rsidR="00F52A35" w:rsidRDefault="00F52A35" w:rsidP="00AD54C5">
      <w:pPr>
        <w:jc w:val="center"/>
        <w:rPr>
          <w:lang w:eastAsia="en-CA"/>
        </w:rPr>
      </w:pPr>
      <w:r w:rsidRPr="00F52A35">
        <w:rPr>
          <w:noProof/>
          <w:u w:val="single"/>
          <w:lang w:eastAsia="zh-CN" w:bidi="hi-IN"/>
        </w:rPr>
        <w:t>Income Statement</w:t>
      </w:r>
      <w:r w:rsidRPr="00F52A35">
        <w:rPr>
          <w:noProof/>
          <w:lang w:val="en-CA" w:eastAsia="en-CA"/>
        </w:rPr>
        <w:drawing>
          <wp:inline distT="0" distB="0" distL="0" distR="0" wp14:anchorId="549AE36B" wp14:editId="55136CF7">
            <wp:extent cx="4794810" cy="6286706"/>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03073" cy="6297540"/>
                    </a:xfrm>
                    <a:prstGeom prst="rect">
                      <a:avLst/>
                    </a:prstGeom>
                    <a:noFill/>
                    <a:ln>
                      <a:noFill/>
                    </a:ln>
                  </pic:spPr>
                </pic:pic>
              </a:graphicData>
            </a:graphic>
          </wp:inline>
        </w:drawing>
      </w:r>
    </w:p>
    <w:p w:rsidR="00F52A35" w:rsidRPr="00F52A35" w:rsidRDefault="00F52A35">
      <w:pPr>
        <w:spacing w:before="0" w:after="0"/>
        <w:rPr>
          <w:u w:val="single"/>
          <w:lang w:eastAsia="en-CA"/>
        </w:rPr>
      </w:pPr>
      <w:r>
        <w:rPr>
          <w:lang w:eastAsia="en-CA"/>
        </w:rPr>
        <w:br w:type="page"/>
      </w:r>
      <w:r w:rsidRPr="00F52A35">
        <w:rPr>
          <w:u w:val="single"/>
          <w:lang w:eastAsia="en-CA"/>
        </w:rPr>
        <w:lastRenderedPageBreak/>
        <w:t>Balance Sheet</w:t>
      </w:r>
    </w:p>
    <w:p w:rsidR="00412770" w:rsidRDefault="00412770">
      <w:pPr>
        <w:spacing w:before="0" w:after="0"/>
        <w:rPr>
          <w:lang w:eastAsia="en-CA"/>
        </w:rPr>
      </w:pPr>
      <w:r w:rsidRPr="00412770">
        <w:rPr>
          <w:noProof/>
          <w:lang w:val="en-CA" w:eastAsia="en-CA"/>
        </w:rPr>
        <w:drawing>
          <wp:inline distT="0" distB="0" distL="0" distR="0" wp14:anchorId="08DE58E8" wp14:editId="55057D18">
            <wp:extent cx="5486400" cy="6265115"/>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86400" cy="6265115"/>
                    </a:xfrm>
                    <a:prstGeom prst="rect">
                      <a:avLst/>
                    </a:prstGeom>
                    <a:noFill/>
                    <a:ln>
                      <a:noFill/>
                    </a:ln>
                  </pic:spPr>
                </pic:pic>
              </a:graphicData>
            </a:graphic>
          </wp:inline>
        </w:drawing>
      </w:r>
    </w:p>
    <w:p w:rsidR="00412770" w:rsidRDefault="00412770">
      <w:pPr>
        <w:spacing w:before="0" w:after="0"/>
        <w:rPr>
          <w:lang w:eastAsia="en-CA"/>
        </w:rPr>
      </w:pPr>
      <w:r>
        <w:rPr>
          <w:lang w:eastAsia="en-CA"/>
        </w:rPr>
        <w:br w:type="page"/>
      </w:r>
    </w:p>
    <w:p w:rsidR="00654983" w:rsidRDefault="00412770">
      <w:pPr>
        <w:spacing w:before="0" w:after="0"/>
        <w:rPr>
          <w:u w:val="single"/>
          <w:lang w:eastAsia="en-CA"/>
        </w:rPr>
      </w:pPr>
      <w:r w:rsidRPr="00412770">
        <w:rPr>
          <w:u w:val="single"/>
          <w:lang w:eastAsia="en-CA"/>
        </w:rPr>
        <w:lastRenderedPageBreak/>
        <w:t>Statement of Cash Flow</w:t>
      </w:r>
    </w:p>
    <w:p w:rsidR="00412770" w:rsidRPr="00412770" w:rsidRDefault="00412770">
      <w:pPr>
        <w:spacing w:before="0" w:after="0"/>
        <w:rPr>
          <w:u w:val="single"/>
          <w:lang w:eastAsia="en-CA"/>
        </w:rPr>
      </w:pPr>
      <w:r w:rsidRPr="00412770">
        <w:rPr>
          <w:noProof/>
          <w:lang w:val="en-CA" w:eastAsia="en-CA"/>
        </w:rPr>
        <w:drawing>
          <wp:inline distT="0" distB="0" distL="0" distR="0" wp14:anchorId="76F2DC5E" wp14:editId="5DFD0B7E">
            <wp:extent cx="5486400" cy="3025624"/>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86400" cy="3025624"/>
                    </a:xfrm>
                    <a:prstGeom prst="rect">
                      <a:avLst/>
                    </a:prstGeom>
                    <a:noFill/>
                    <a:ln>
                      <a:noFill/>
                    </a:ln>
                  </pic:spPr>
                </pic:pic>
              </a:graphicData>
            </a:graphic>
          </wp:inline>
        </w:drawing>
      </w:r>
    </w:p>
    <w:p w:rsidR="00F52A35" w:rsidRDefault="00F52A35" w:rsidP="00F52A35">
      <w:pPr>
        <w:pStyle w:val="Heading1"/>
        <w:rPr>
          <w:lang w:eastAsia="en-CA"/>
        </w:rPr>
      </w:pPr>
      <w:bookmarkStart w:id="28" w:name="_Toc374518274"/>
      <w:r>
        <w:rPr>
          <w:lang w:eastAsia="en-CA"/>
        </w:rPr>
        <w:lastRenderedPageBreak/>
        <w:t>Appendix B</w:t>
      </w:r>
      <w:bookmarkEnd w:id="28"/>
    </w:p>
    <w:p w:rsidR="00F52A35" w:rsidRDefault="00F52A35" w:rsidP="00412770">
      <w:pPr>
        <w:jc w:val="center"/>
        <w:rPr>
          <w:lang w:eastAsia="en-CA"/>
        </w:rPr>
      </w:pPr>
      <w:r>
        <w:rPr>
          <w:lang w:eastAsia="en-CA"/>
        </w:rPr>
        <w:t>Financial Ratio Calculations</w:t>
      </w:r>
    </w:p>
    <w:p w:rsidR="00412770" w:rsidRPr="00412770" w:rsidRDefault="00412770" w:rsidP="00412770">
      <w:pPr>
        <w:rPr>
          <w:u w:val="single"/>
          <w:lang w:eastAsia="en-CA"/>
        </w:rPr>
      </w:pPr>
      <w:r>
        <w:rPr>
          <w:u w:val="single"/>
          <w:lang w:eastAsia="en-CA"/>
        </w:rPr>
        <w:t>Asset Turnover</w:t>
      </w:r>
    </w:p>
    <w:p w:rsidR="00412770" w:rsidRDefault="00412770" w:rsidP="00412770">
      <w:pPr>
        <w:rPr>
          <w:lang w:eastAsia="en-CA"/>
        </w:rPr>
      </w:pPr>
      <w:r w:rsidRPr="00412770">
        <w:rPr>
          <w:noProof/>
          <w:lang w:val="en-CA" w:eastAsia="en-CA"/>
        </w:rPr>
        <w:drawing>
          <wp:inline distT="0" distB="0" distL="0" distR="0" wp14:anchorId="2B0D8CAE" wp14:editId="41DAB066">
            <wp:extent cx="3419475" cy="3325307"/>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24860" cy="3330544"/>
                    </a:xfrm>
                    <a:prstGeom prst="rect">
                      <a:avLst/>
                    </a:prstGeom>
                    <a:noFill/>
                    <a:ln>
                      <a:noFill/>
                    </a:ln>
                  </pic:spPr>
                </pic:pic>
              </a:graphicData>
            </a:graphic>
          </wp:inline>
        </w:drawing>
      </w:r>
    </w:p>
    <w:p w:rsidR="00412770" w:rsidRPr="00412770" w:rsidRDefault="00412770" w:rsidP="00412770">
      <w:pPr>
        <w:rPr>
          <w:u w:val="single"/>
          <w:lang w:eastAsia="en-CA"/>
        </w:rPr>
      </w:pPr>
      <w:r>
        <w:rPr>
          <w:u w:val="single"/>
          <w:lang w:eastAsia="en-CA"/>
        </w:rPr>
        <w:t>Invested Capital Turnover</w:t>
      </w:r>
    </w:p>
    <w:p w:rsidR="00412770" w:rsidRDefault="00412770" w:rsidP="00412770">
      <w:pPr>
        <w:rPr>
          <w:lang w:eastAsia="en-CA"/>
        </w:rPr>
      </w:pPr>
      <w:r w:rsidRPr="00412770">
        <w:rPr>
          <w:noProof/>
          <w:lang w:val="en-CA" w:eastAsia="en-CA"/>
        </w:rPr>
        <w:drawing>
          <wp:inline distT="0" distB="0" distL="0" distR="0" wp14:anchorId="3EA57330" wp14:editId="6C40DC8A">
            <wp:extent cx="5486400" cy="270726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86400" cy="2707263"/>
                    </a:xfrm>
                    <a:prstGeom prst="rect">
                      <a:avLst/>
                    </a:prstGeom>
                    <a:noFill/>
                    <a:ln>
                      <a:noFill/>
                    </a:ln>
                  </pic:spPr>
                </pic:pic>
              </a:graphicData>
            </a:graphic>
          </wp:inline>
        </w:drawing>
      </w:r>
    </w:p>
    <w:p w:rsidR="00412770" w:rsidRPr="00412770" w:rsidRDefault="00412770" w:rsidP="00412770">
      <w:pPr>
        <w:rPr>
          <w:u w:val="single"/>
          <w:lang w:eastAsia="en-CA"/>
        </w:rPr>
      </w:pPr>
      <w:r>
        <w:rPr>
          <w:u w:val="single"/>
          <w:lang w:eastAsia="en-CA"/>
        </w:rPr>
        <w:lastRenderedPageBreak/>
        <w:t>Equity Turnover</w:t>
      </w:r>
    </w:p>
    <w:p w:rsidR="00412770" w:rsidRDefault="00412770" w:rsidP="00412770">
      <w:pPr>
        <w:rPr>
          <w:lang w:eastAsia="en-CA"/>
        </w:rPr>
      </w:pPr>
      <w:r w:rsidRPr="00412770">
        <w:rPr>
          <w:noProof/>
          <w:lang w:val="en-CA" w:eastAsia="en-CA"/>
        </w:rPr>
        <w:drawing>
          <wp:inline distT="0" distB="0" distL="0" distR="0" wp14:anchorId="35D02E87" wp14:editId="0E95BB9A">
            <wp:extent cx="5075561" cy="36671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87935" cy="3676065"/>
                    </a:xfrm>
                    <a:prstGeom prst="rect">
                      <a:avLst/>
                    </a:prstGeom>
                    <a:noFill/>
                    <a:ln>
                      <a:noFill/>
                    </a:ln>
                  </pic:spPr>
                </pic:pic>
              </a:graphicData>
            </a:graphic>
          </wp:inline>
        </w:drawing>
      </w:r>
    </w:p>
    <w:p w:rsidR="00412770" w:rsidRDefault="00412770" w:rsidP="00412770">
      <w:pPr>
        <w:rPr>
          <w:u w:val="single"/>
          <w:lang w:eastAsia="en-CA"/>
        </w:rPr>
      </w:pPr>
      <w:r>
        <w:rPr>
          <w:u w:val="single"/>
          <w:lang w:eastAsia="en-CA"/>
        </w:rPr>
        <w:t>Capital Asset Intensity</w:t>
      </w:r>
    </w:p>
    <w:p w:rsidR="00412770" w:rsidRDefault="00412770" w:rsidP="00412770">
      <w:pPr>
        <w:rPr>
          <w:u w:val="single"/>
          <w:lang w:eastAsia="en-CA"/>
        </w:rPr>
      </w:pPr>
      <w:r w:rsidRPr="00412770">
        <w:rPr>
          <w:noProof/>
          <w:lang w:val="en-CA" w:eastAsia="en-CA"/>
        </w:rPr>
        <w:drawing>
          <wp:inline distT="0" distB="0" distL="0" distR="0" wp14:anchorId="1CD856AA" wp14:editId="32817FEA">
            <wp:extent cx="5210175" cy="3652294"/>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07714" cy="3650569"/>
                    </a:xfrm>
                    <a:prstGeom prst="rect">
                      <a:avLst/>
                    </a:prstGeom>
                    <a:noFill/>
                    <a:ln>
                      <a:noFill/>
                    </a:ln>
                  </pic:spPr>
                </pic:pic>
              </a:graphicData>
            </a:graphic>
          </wp:inline>
        </w:drawing>
      </w:r>
    </w:p>
    <w:p w:rsidR="00412770" w:rsidRDefault="00412770" w:rsidP="00412770">
      <w:pPr>
        <w:rPr>
          <w:u w:val="single"/>
          <w:lang w:eastAsia="en-CA"/>
        </w:rPr>
      </w:pPr>
      <w:r>
        <w:rPr>
          <w:u w:val="single"/>
          <w:lang w:eastAsia="en-CA"/>
        </w:rPr>
        <w:lastRenderedPageBreak/>
        <w:t>Day’s Cash</w:t>
      </w:r>
    </w:p>
    <w:p w:rsidR="00412770" w:rsidRDefault="00412770" w:rsidP="00412770">
      <w:pPr>
        <w:rPr>
          <w:u w:val="single"/>
          <w:lang w:eastAsia="en-CA"/>
        </w:rPr>
      </w:pPr>
      <w:r w:rsidRPr="00412770">
        <w:rPr>
          <w:noProof/>
          <w:lang w:val="en-CA" w:eastAsia="en-CA"/>
        </w:rPr>
        <w:drawing>
          <wp:inline distT="0" distB="0" distL="0" distR="0" wp14:anchorId="4445E2A2" wp14:editId="481446FB">
            <wp:extent cx="3842081" cy="3552825"/>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42081" cy="3552825"/>
                    </a:xfrm>
                    <a:prstGeom prst="rect">
                      <a:avLst/>
                    </a:prstGeom>
                    <a:noFill/>
                    <a:ln>
                      <a:noFill/>
                    </a:ln>
                  </pic:spPr>
                </pic:pic>
              </a:graphicData>
            </a:graphic>
          </wp:inline>
        </w:drawing>
      </w:r>
    </w:p>
    <w:p w:rsidR="00412770" w:rsidRDefault="00412770" w:rsidP="00412770">
      <w:pPr>
        <w:rPr>
          <w:u w:val="single"/>
          <w:lang w:eastAsia="en-CA"/>
        </w:rPr>
      </w:pPr>
      <w:r>
        <w:rPr>
          <w:u w:val="single"/>
          <w:lang w:eastAsia="en-CA"/>
        </w:rPr>
        <w:t>Day’s Payable</w:t>
      </w:r>
    </w:p>
    <w:p w:rsidR="00412770" w:rsidRDefault="00412770" w:rsidP="00412770">
      <w:pPr>
        <w:rPr>
          <w:u w:val="single"/>
          <w:lang w:eastAsia="en-CA"/>
        </w:rPr>
      </w:pPr>
      <w:r w:rsidRPr="00412770">
        <w:rPr>
          <w:noProof/>
          <w:lang w:val="en-CA" w:eastAsia="en-CA"/>
        </w:rPr>
        <w:drawing>
          <wp:inline distT="0" distB="0" distL="0" distR="0" wp14:anchorId="7A1A79F6" wp14:editId="64C5D15E">
            <wp:extent cx="5486400" cy="2980592"/>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86400" cy="2980592"/>
                    </a:xfrm>
                    <a:prstGeom prst="rect">
                      <a:avLst/>
                    </a:prstGeom>
                    <a:noFill/>
                    <a:ln>
                      <a:noFill/>
                    </a:ln>
                  </pic:spPr>
                </pic:pic>
              </a:graphicData>
            </a:graphic>
          </wp:inline>
        </w:drawing>
      </w:r>
    </w:p>
    <w:p w:rsidR="00412770" w:rsidRDefault="00412770" w:rsidP="00412770">
      <w:pPr>
        <w:rPr>
          <w:u w:val="single"/>
          <w:lang w:eastAsia="en-CA"/>
        </w:rPr>
      </w:pPr>
    </w:p>
    <w:p w:rsidR="00412770" w:rsidRDefault="00412770" w:rsidP="00412770">
      <w:pPr>
        <w:rPr>
          <w:u w:val="single"/>
          <w:lang w:eastAsia="en-CA"/>
        </w:rPr>
      </w:pPr>
    </w:p>
    <w:p w:rsidR="00220DFD" w:rsidRDefault="00220DFD" w:rsidP="00412770">
      <w:pPr>
        <w:rPr>
          <w:u w:val="single"/>
          <w:lang w:eastAsia="en-CA"/>
        </w:rPr>
      </w:pPr>
      <w:r>
        <w:rPr>
          <w:u w:val="single"/>
          <w:lang w:eastAsia="en-CA"/>
        </w:rPr>
        <w:lastRenderedPageBreak/>
        <w:t>Day’s Receivable</w:t>
      </w:r>
    </w:p>
    <w:p w:rsidR="00412770" w:rsidRDefault="00220DFD" w:rsidP="00412770">
      <w:pPr>
        <w:rPr>
          <w:u w:val="single"/>
          <w:lang w:eastAsia="en-CA"/>
        </w:rPr>
      </w:pPr>
      <w:r w:rsidRPr="00220DFD">
        <w:rPr>
          <w:noProof/>
          <w:lang w:val="en-CA" w:eastAsia="en-CA"/>
        </w:rPr>
        <w:drawing>
          <wp:inline distT="0" distB="0" distL="0" distR="0" wp14:anchorId="3C02C3FC" wp14:editId="51256B8B">
            <wp:extent cx="4489765" cy="3400425"/>
            <wp:effectExtent l="0" t="0" r="635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92305" cy="3402348"/>
                    </a:xfrm>
                    <a:prstGeom prst="rect">
                      <a:avLst/>
                    </a:prstGeom>
                    <a:noFill/>
                    <a:ln>
                      <a:noFill/>
                    </a:ln>
                  </pic:spPr>
                </pic:pic>
              </a:graphicData>
            </a:graphic>
          </wp:inline>
        </w:drawing>
      </w:r>
    </w:p>
    <w:p w:rsidR="00220DFD" w:rsidRDefault="00220DFD" w:rsidP="00412770">
      <w:pPr>
        <w:rPr>
          <w:u w:val="single"/>
          <w:lang w:eastAsia="en-CA"/>
        </w:rPr>
      </w:pPr>
      <w:r>
        <w:rPr>
          <w:u w:val="single"/>
          <w:lang w:eastAsia="en-CA"/>
        </w:rPr>
        <w:t>Day’s Inventory</w:t>
      </w:r>
    </w:p>
    <w:p w:rsidR="00220DFD" w:rsidRDefault="00220DFD" w:rsidP="00412770">
      <w:pPr>
        <w:rPr>
          <w:u w:val="single"/>
          <w:lang w:eastAsia="en-CA"/>
        </w:rPr>
      </w:pPr>
      <w:r w:rsidRPr="00220DFD">
        <w:rPr>
          <w:noProof/>
          <w:lang w:val="en-CA" w:eastAsia="en-CA"/>
        </w:rPr>
        <w:drawing>
          <wp:inline distT="0" distB="0" distL="0" distR="0" wp14:anchorId="403741A7" wp14:editId="22DE6B25">
            <wp:extent cx="4438650" cy="3737462"/>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38718" cy="3737519"/>
                    </a:xfrm>
                    <a:prstGeom prst="rect">
                      <a:avLst/>
                    </a:prstGeom>
                    <a:noFill/>
                    <a:ln>
                      <a:noFill/>
                    </a:ln>
                  </pic:spPr>
                </pic:pic>
              </a:graphicData>
            </a:graphic>
          </wp:inline>
        </w:drawing>
      </w:r>
    </w:p>
    <w:p w:rsidR="00220DFD" w:rsidRDefault="00220DFD" w:rsidP="00412770">
      <w:pPr>
        <w:rPr>
          <w:u w:val="single"/>
          <w:lang w:eastAsia="en-CA"/>
        </w:rPr>
      </w:pPr>
      <w:r>
        <w:rPr>
          <w:u w:val="single"/>
          <w:lang w:eastAsia="en-CA"/>
        </w:rPr>
        <w:lastRenderedPageBreak/>
        <w:t>Inventory Turnover</w:t>
      </w:r>
    </w:p>
    <w:p w:rsidR="00220DFD" w:rsidRDefault="00220DFD" w:rsidP="00412770">
      <w:pPr>
        <w:rPr>
          <w:u w:val="single"/>
          <w:lang w:eastAsia="en-CA"/>
        </w:rPr>
      </w:pPr>
      <w:r w:rsidRPr="00220DFD">
        <w:rPr>
          <w:noProof/>
          <w:lang w:val="en-CA" w:eastAsia="en-CA"/>
        </w:rPr>
        <w:drawing>
          <wp:inline distT="0" distB="0" distL="0" distR="0">
            <wp:extent cx="3367180" cy="3609975"/>
            <wp:effectExtent l="0" t="0" r="508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69725" cy="3612704"/>
                    </a:xfrm>
                    <a:prstGeom prst="rect">
                      <a:avLst/>
                    </a:prstGeom>
                    <a:noFill/>
                    <a:ln>
                      <a:noFill/>
                    </a:ln>
                  </pic:spPr>
                </pic:pic>
              </a:graphicData>
            </a:graphic>
          </wp:inline>
        </w:drawing>
      </w:r>
    </w:p>
    <w:p w:rsidR="00220DFD" w:rsidRDefault="00220DFD" w:rsidP="00412770">
      <w:pPr>
        <w:rPr>
          <w:u w:val="single"/>
          <w:lang w:eastAsia="en-CA"/>
        </w:rPr>
      </w:pPr>
      <w:r>
        <w:rPr>
          <w:u w:val="single"/>
          <w:lang w:eastAsia="en-CA"/>
        </w:rPr>
        <w:t>Working Capital Turnover</w:t>
      </w:r>
    </w:p>
    <w:p w:rsidR="00220DFD" w:rsidRDefault="00220DFD" w:rsidP="00412770">
      <w:pPr>
        <w:rPr>
          <w:u w:val="single"/>
          <w:lang w:eastAsia="en-CA"/>
        </w:rPr>
      </w:pPr>
      <w:r w:rsidRPr="00220DFD">
        <w:rPr>
          <w:noProof/>
          <w:lang w:val="en-CA" w:eastAsia="en-CA"/>
        </w:rPr>
        <w:drawing>
          <wp:inline distT="0" distB="0" distL="0" distR="0" wp14:anchorId="7447B714" wp14:editId="7E47648C">
            <wp:extent cx="4336825" cy="3571875"/>
            <wp:effectExtent l="0" t="0" r="698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340506" cy="3574907"/>
                    </a:xfrm>
                    <a:prstGeom prst="rect">
                      <a:avLst/>
                    </a:prstGeom>
                    <a:noFill/>
                    <a:ln>
                      <a:noFill/>
                    </a:ln>
                  </pic:spPr>
                </pic:pic>
              </a:graphicData>
            </a:graphic>
          </wp:inline>
        </w:drawing>
      </w:r>
    </w:p>
    <w:p w:rsidR="00220DFD" w:rsidRDefault="00220DFD" w:rsidP="00412770">
      <w:pPr>
        <w:rPr>
          <w:u w:val="single"/>
          <w:lang w:eastAsia="en-CA"/>
        </w:rPr>
      </w:pPr>
      <w:r>
        <w:rPr>
          <w:u w:val="single"/>
          <w:lang w:eastAsia="en-CA"/>
        </w:rPr>
        <w:lastRenderedPageBreak/>
        <w:t>Current Ratio</w:t>
      </w:r>
    </w:p>
    <w:p w:rsidR="00220DFD" w:rsidRDefault="00220DFD" w:rsidP="00412770">
      <w:pPr>
        <w:rPr>
          <w:u w:val="single"/>
          <w:lang w:eastAsia="en-CA"/>
        </w:rPr>
      </w:pPr>
      <w:r w:rsidRPr="00220DFD">
        <w:rPr>
          <w:noProof/>
          <w:lang w:val="en-CA" w:eastAsia="en-CA"/>
        </w:rPr>
        <w:drawing>
          <wp:inline distT="0" distB="0" distL="0" distR="0" wp14:anchorId="55E6EEBA" wp14:editId="17612DD7">
            <wp:extent cx="4031587" cy="3181350"/>
            <wp:effectExtent l="0" t="0" r="762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36250" cy="3185030"/>
                    </a:xfrm>
                    <a:prstGeom prst="rect">
                      <a:avLst/>
                    </a:prstGeom>
                    <a:noFill/>
                    <a:ln>
                      <a:noFill/>
                    </a:ln>
                  </pic:spPr>
                </pic:pic>
              </a:graphicData>
            </a:graphic>
          </wp:inline>
        </w:drawing>
      </w:r>
    </w:p>
    <w:p w:rsidR="00220DFD" w:rsidRDefault="00220DFD" w:rsidP="00412770">
      <w:pPr>
        <w:rPr>
          <w:u w:val="single"/>
          <w:lang w:eastAsia="en-CA"/>
        </w:rPr>
      </w:pPr>
      <w:r>
        <w:rPr>
          <w:u w:val="single"/>
          <w:lang w:eastAsia="en-CA"/>
        </w:rPr>
        <w:t>Acid Test Ratio</w:t>
      </w:r>
    </w:p>
    <w:p w:rsidR="00220DFD" w:rsidRDefault="00220DFD" w:rsidP="00412770">
      <w:pPr>
        <w:rPr>
          <w:u w:val="single"/>
          <w:lang w:eastAsia="en-CA"/>
        </w:rPr>
      </w:pPr>
      <w:r w:rsidRPr="00220DFD">
        <w:rPr>
          <w:noProof/>
          <w:lang w:val="en-CA" w:eastAsia="en-CA"/>
        </w:rPr>
        <w:drawing>
          <wp:inline distT="0" distB="0" distL="0" distR="0" wp14:anchorId="286BA9C2" wp14:editId="455C40FB">
            <wp:extent cx="5486400" cy="3459616"/>
            <wp:effectExtent l="0" t="0" r="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86400" cy="3459616"/>
                    </a:xfrm>
                    <a:prstGeom prst="rect">
                      <a:avLst/>
                    </a:prstGeom>
                    <a:noFill/>
                    <a:ln>
                      <a:noFill/>
                    </a:ln>
                  </pic:spPr>
                </pic:pic>
              </a:graphicData>
            </a:graphic>
          </wp:inline>
        </w:drawing>
      </w:r>
    </w:p>
    <w:p w:rsidR="00220DFD" w:rsidRDefault="00220DFD" w:rsidP="00412770">
      <w:pPr>
        <w:rPr>
          <w:u w:val="single"/>
          <w:lang w:eastAsia="en-CA"/>
        </w:rPr>
      </w:pPr>
    </w:p>
    <w:p w:rsidR="00220DFD" w:rsidRDefault="00220DFD" w:rsidP="00412770">
      <w:pPr>
        <w:rPr>
          <w:u w:val="single"/>
          <w:lang w:eastAsia="en-CA"/>
        </w:rPr>
      </w:pPr>
    </w:p>
    <w:p w:rsidR="00220DFD" w:rsidRDefault="00220DFD" w:rsidP="00412770">
      <w:pPr>
        <w:rPr>
          <w:u w:val="single"/>
          <w:lang w:eastAsia="en-CA"/>
        </w:rPr>
      </w:pPr>
      <w:r>
        <w:rPr>
          <w:u w:val="single"/>
          <w:lang w:eastAsia="en-CA"/>
        </w:rPr>
        <w:lastRenderedPageBreak/>
        <w:t>Cash Conversion Cycle</w:t>
      </w:r>
    </w:p>
    <w:p w:rsidR="00220DFD" w:rsidRDefault="00220DFD" w:rsidP="00412770">
      <w:pPr>
        <w:rPr>
          <w:u w:val="single"/>
          <w:lang w:eastAsia="en-CA"/>
        </w:rPr>
      </w:pPr>
      <w:r w:rsidRPr="00220DFD">
        <w:rPr>
          <w:noProof/>
          <w:lang w:val="en-CA" w:eastAsia="en-CA"/>
        </w:rPr>
        <w:drawing>
          <wp:inline distT="0" distB="0" distL="0" distR="0" wp14:anchorId="7764D388" wp14:editId="7213FDE4">
            <wp:extent cx="5486400" cy="2946593"/>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86400" cy="2946593"/>
                    </a:xfrm>
                    <a:prstGeom prst="rect">
                      <a:avLst/>
                    </a:prstGeom>
                    <a:noFill/>
                    <a:ln>
                      <a:noFill/>
                    </a:ln>
                  </pic:spPr>
                </pic:pic>
              </a:graphicData>
            </a:graphic>
          </wp:inline>
        </w:drawing>
      </w:r>
    </w:p>
    <w:p w:rsidR="00220DFD" w:rsidRDefault="00220DFD" w:rsidP="00412770">
      <w:pPr>
        <w:rPr>
          <w:u w:val="single"/>
          <w:lang w:eastAsia="en-CA"/>
        </w:rPr>
      </w:pPr>
      <w:r>
        <w:rPr>
          <w:u w:val="single"/>
          <w:lang w:eastAsia="en-CA"/>
        </w:rPr>
        <w:t>Profit Margin</w:t>
      </w:r>
    </w:p>
    <w:p w:rsidR="00220DFD" w:rsidRDefault="00220DFD" w:rsidP="00412770">
      <w:pPr>
        <w:rPr>
          <w:u w:val="single"/>
          <w:lang w:eastAsia="en-CA"/>
        </w:rPr>
      </w:pPr>
      <w:r w:rsidRPr="00220DFD">
        <w:rPr>
          <w:noProof/>
          <w:lang w:val="en-CA" w:eastAsia="en-CA"/>
        </w:rPr>
        <w:drawing>
          <wp:inline distT="0" distB="0" distL="0" distR="0" wp14:anchorId="7E5514BD" wp14:editId="21098601">
            <wp:extent cx="4267200" cy="3469019"/>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269758" cy="3471098"/>
                    </a:xfrm>
                    <a:prstGeom prst="rect">
                      <a:avLst/>
                    </a:prstGeom>
                    <a:noFill/>
                    <a:ln>
                      <a:noFill/>
                    </a:ln>
                  </pic:spPr>
                </pic:pic>
              </a:graphicData>
            </a:graphic>
          </wp:inline>
        </w:drawing>
      </w:r>
    </w:p>
    <w:p w:rsidR="00220DFD" w:rsidRDefault="00220DFD" w:rsidP="00412770">
      <w:pPr>
        <w:rPr>
          <w:u w:val="single"/>
          <w:lang w:eastAsia="en-CA"/>
        </w:rPr>
      </w:pPr>
    </w:p>
    <w:p w:rsidR="00220DFD" w:rsidRDefault="00220DFD" w:rsidP="00412770">
      <w:pPr>
        <w:rPr>
          <w:u w:val="single"/>
          <w:lang w:eastAsia="en-CA"/>
        </w:rPr>
      </w:pPr>
    </w:p>
    <w:p w:rsidR="00220DFD" w:rsidRDefault="00220DFD" w:rsidP="00412770">
      <w:pPr>
        <w:rPr>
          <w:u w:val="single"/>
          <w:lang w:eastAsia="en-CA"/>
        </w:rPr>
      </w:pPr>
      <w:r>
        <w:rPr>
          <w:u w:val="single"/>
          <w:lang w:eastAsia="en-CA"/>
        </w:rPr>
        <w:lastRenderedPageBreak/>
        <w:t>Gross Margin Percentage</w:t>
      </w:r>
    </w:p>
    <w:p w:rsidR="00220DFD" w:rsidRPr="00412770" w:rsidRDefault="00220DFD" w:rsidP="00412770">
      <w:pPr>
        <w:rPr>
          <w:u w:val="single"/>
          <w:lang w:eastAsia="en-CA"/>
        </w:rPr>
      </w:pPr>
      <w:r w:rsidRPr="00220DFD">
        <w:rPr>
          <w:noProof/>
          <w:lang w:val="en-CA" w:eastAsia="en-CA"/>
        </w:rPr>
        <w:drawing>
          <wp:inline distT="0" distB="0" distL="0" distR="0" wp14:anchorId="0C2321FE" wp14:editId="3ADBD01C">
            <wp:extent cx="4486275" cy="3481793"/>
            <wp:effectExtent l="0" t="0" r="0" b="444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86606" cy="3482050"/>
                    </a:xfrm>
                    <a:prstGeom prst="rect">
                      <a:avLst/>
                    </a:prstGeom>
                    <a:noFill/>
                    <a:ln>
                      <a:noFill/>
                    </a:ln>
                  </pic:spPr>
                </pic:pic>
              </a:graphicData>
            </a:graphic>
          </wp:inline>
        </w:drawing>
      </w:r>
    </w:p>
    <w:sectPr w:rsidR="00220DFD" w:rsidRPr="00412770" w:rsidSect="007D5A6C">
      <w:footerReference w:type="first" r:id="rId56"/>
      <w:pgSz w:w="12240" w:h="15840" w:code="1"/>
      <w:pgMar w:top="1080" w:right="1800" w:bottom="108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D61" w:rsidRDefault="00437D61" w:rsidP="00727E33">
      <w:pPr>
        <w:pStyle w:val="EnvelopeReturn"/>
      </w:pPr>
      <w:r>
        <w:separator/>
      </w:r>
    </w:p>
    <w:p w:rsidR="00437D61" w:rsidRDefault="00437D61"/>
  </w:endnote>
  <w:endnote w:type="continuationSeparator" w:id="0">
    <w:p w:rsidR="00437D61" w:rsidRDefault="00437D61" w:rsidP="00727E33">
      <w:pPr>
        <w:pStyle w:val="EnvelopeReturn"/>
      </w:pPr>
      <w:r>
        <w:continuationSeparator/>
      </w:r>
    </w:p>
    <w:p w:rsidR="00437D61" w:rsidRDefault="00437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 LT 55 Roman">
    <w:altName w:val="Malgun Gothic"/>
    <w:charset w:val="00"/>
    <w:family w:val="auto"/>
    <w:pitch w:val="variable"/>
    <w:sig w:usb0="00000003" w:usb1="00000000" w:usb2="00000000" w:usb3="00000000" w:csb0="00000001" w:csb1="00000000"/>
  </w:font>
  <w:font w:name="HelveticaNeue LT 45 Lt">
    <w:panose1 w:val="00000000000000000000"/>
    <w:charset w:val="00"/>
    <w:family w:val="modern"/>
    <w:notTrueType/>
    <w:pitch w:val="variable"/>
    <w:sig w:usb0="00000003" w:usb1="00000000" w:usb2="00000000" w:usb3="00000000" w:csb0="00000001" w:csb1="00000000"/>
  </w:font>
  <w:font w:name="HelveticaNeue LT 57 Cn">
    <w:altName w:val="Liberation Mono"/>
    <w:charset w:val="00"/>
    <w:family w:val="auto"/>
    <w:pitch w:val="variable"/>
    <w:sig w:usb0="00000003" w:usb1="00000000" w:usb2="00000000" w:usb3="00000000" w:csb0="00000001" w:csb1="00000000"/>
  </w:font>
  <w:font w:name="HelveticaNeue LT 56 Italic">
    <w:altName w:val="Arial"/>
    <w:panose1 w:val="00000000000000000000"/>
    <w:charset w:val="00"/>
    <w:family w:val="modern"/>
    <w:notTrueType/>
    <w:pitch w:val="variable"/>
    <w:sig w:usb0="00000001" w:usb1="00000000" w:usb2="00000000" w:usb3="00000000" w:csb0="00000009" w:csb1="00000000"/>
  </w:font>
  <w:font w:name="Helvetica 55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LT 75 Bold">
    <w:panose1 w:val="00000000000000000000"/>
    <w:charset w:val="00"/>
    <w:family w:val="modern"/>
    <w:notTrueType/>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Condense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4C5" w:rsidRDefault="00AD54C5">
    <w:pPr>
      <w:pStyle w:val="Footer"/>
    </w:pPr>
    <w:r>
      <w:tab/>
    </w:r>
    <w:r>
      <w:rPr>
        <w:rStyle w:val="PageNumber"/>
      </w:rPr>
      <w:fldChar w:fldCharType="begin"/>
    </w:r>
    <w:r>
      <w:rPr>
        <w:rStyle w:val="PageNumber"/>
      </w:rPr>
      <w:instrText xml:space="preserve"> PAGE </w:instrText>
    </w:r>
    <w:r>
      <w:rPr>
        <w:rStyle w:val="PageNumber"/>
      </w:rPr>
      <w:fldChar w:fldCharType="separate"/>
    </w:r>
    <w:r w:rsidR="00724CA1">
      <w:rPr>
        <w:rStyle w:val="PageNumber"/>
        <w:noProof/>
      </w:rPr>
      <w:t>36</w:t>
    </w:r>
    <w:r>
      <w:rPr>
        <w:rStyle w:val="PageNumber"/>
      </w:rPr>
      <w:fldChar w:fldCharType="end"/>
    </w:r>
    <w:r>
      <w:tab/>
    </w:r>
  </w:p>
  <w:p w:rsidR="00AD54C5" w:rsidRDefault="00AD54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306245"/>
      <w:docPartObj>
        <w:docPartGallery w:val="Page Numbers (Bottom of Page)"/>
        <w:docPartUnique/>
      </w:docPartObj>
    </w:sdtPr>
    <w:sdtEndPr/>
    <w:sdtContent>
      <w:p w:rsidR="00AD54C5" w:rsidRDefault="00AD54C5">
        <w:pPr>
          <w:pStyle w:val="Footer"/>
        </w:pPr>
        <w:r>
          <w:fldChar w:fldCharType="begin"/>
        </w:r>
        <w:r>
          <w:instrText xml:space="preserve"> PAGE   \* MERGEFORMAT </w:instrText>
        </w:r>
        <w:r>
          <w:fldChar w:fldCharType="separate"/>
        </w:r>
        <w:r w:rsidR="00724CA1">
          <w:rPr>
            <w:noProof/>
          </w:rPr>
          <w:t>1</w:t>
        </w:r>
        <w:r>
          <w:rPr>
            <w:noProof/>
          </w:rPr>
          <w:fldChar w:fldCharType="end"/>
        </w:r>
      </w:p>
    </w:sdtContent>
  </w:sdt>
  <w:p w:rsidR="00AD54C5" w:rsidRDefault="00AD5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D61" w:rsidRDefault="00437D61" w:rsidP="00727E33">
      <w:pPr>
        <w:pStyle w:val="EnvelopeReturn"/>
      </w:pPr>
      <w:r>
        <w:separator/>
      </w:r>
    </w:p>
    <w:p w:rsidR="00437D61" w:rsidRDefault="00437D61"/>
  </w:footnote>
  <w:footnote w:type="continuationSeparator" w:id="0">
    <w:p w:rsidR="00437D61" w:rsidRDefault="00437D61" w:rsidP="00727E33">
      <w:pPr>
        <w:pStyle w:val="EnvelopeReturn"/>
      </w:pPr>
      <w:r>
        <w:continuationSeparator/>
      </w:r>
    </w:p>
    <w:p w:rsidR="00437D61" w:rsidRDefault="00437D61"/>
  </w:footnote>
  <w:footnote w:id="1">
    <w:p w:rsidR="00AD54C5" w:rsidRPr="00AD54C5" w:rsidRDefault="00AD54C5">
      <w:pPr>
        <w:pStyle w:val="FootnoteText"/>
        <w:rPr>
          <w:lang w:val="en-CA"/>
        </w:rPr>
      </w:pPr>
      <w:r>
        <w:rPr>
          <w:rStyle w:val="FootnoteReference"/>
        </w:rPr>
        <w:footnoteRef/>
      </w:r>
      <w:r>
        <w:t xml:space="preserve"> </w:t>
      </w:r>
      <w:r>
        <w:rPr>
          <w:lang w:val="en-CA"/>
        </w:rPr>
        <w:t xml:space="preserve">For complete </w:t>
      </w:r>
      <w:r>
        <w:rPr>
          <w:lang w:eastAsia="en-CA"/>
        </w:rPr>
        <w:t>financial ratio calculations see Appendix B.</w:t>
      </w:r>
    </w:p>
  </w:footnote>
  <w:footnote w:id="2">
    <w:p w:rsidR="00AD54C5" w:rsidRPr="00F97D00" w:rsidRDefault="00AD54C5">
      <w:pPr>
        <w:pStyle w:val="FootnoteText"/>
        <w:rPr>
          <w:lang w:val="en-CA"/>
        </w:rPr>
      </w:pPr>
      <w:r>
        <w:rPr>
          <w:rStyle w:val="FootnoteReference"/>
        </w:rPr>
        <w:footnoteRef/>
      </w:r>
      <w:r>
        <w:t xml:space="preserve"> </w:t>
      </w:r>
      <w:r>
        <w:rPr>
          <w:lang w:val="en-CA"/>
        </w:rPr>
        <w:t>For Rogers Communications Inc. and Telus Corporation’s Consolidated Financial Statements (excluding notes) see Appendix 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A8A2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5D094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076827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0EA85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8DA7F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AE00E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6FE4F9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4CA59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1842E78"/>
    <w:lvl w:ilvl="0">
      <w:start w:val="1"/>
      <w:numFmt w:val="decimal"/>
      <w:pStyle w:val="ListNumber"/>
      <w:lvlText w:val="%1."/>
      <w:lvlJc w:val="left"/>
      <w:pPr>
        <w:tabs>
          <w:tab w:val="num" w:pos="360"/>
        </w:tabs>
        <w:ind w:left="360" w:hanging="360"/>
      </w:pPr>
    </w:lvl>
  </w:abstractNum>
  <w:abstractNum w:abstractNumId="9">
    <w:nsid w:val="FFFFFF89"/>
    <w:multiLevelType w:val="singleLevel"/>
    <w:tmpl w:val="503EF264"/>
    <w:lvl w:ilvl="0">
      <w:start w:val="1"/>
      <w:numFmt w:val="bullet"/>
      <w:pStyle w:val="ListBullet"/>
      <w:lvlText w:val=""/>
      <w:lvlJc w:val="left"/>
      <w:pPr>
        <w:tabs>
          <w:tab w:val="num" w:pos="360"/>
        </w:tabs>
        <w:ind w:left="720" w:hanging="360"/>
      </w:pPr>
      <w:rPr>
        <w:rFonts w:ascii="Symbol" w:hAnsi="Symbol" w:hint="default"/>
      </w:rPr>
    </w:lvl>
  </w:abstractNum>
  <w:abstractNum w:abstractNumId="10">
    <w:nsid w:val="0891409C"/>
    <w:multiLevelType w:val="multilevel"/>
    <w:tmpl w:val="7D989C8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E7974A2"/>
    <w:multiLevelType w:val="multilevel"/>
    <w:tmpl w:val="0409001D"/>
    <w:numStyleLink w:val="TableList"/>
  </w:abstractNum>
  <w:abstractNum w:abstractNumId="12">
    <w:nsid w:val="13F43558"/>
    <w:multiLevelType w:val="multilevel"/>
    <w:tmpl w:val="DF787D88"/>
    <w:lvl w:ilvl="0">
      <w:start w:val="1"/>
      <w:numFmt w:val="bullet"/>
      <w:lvlText w:val=""/>
      <w:lvlJc w:val="left"/>
      <w:pPr>
        <w:tabs>
          <w:tab w:val="num" w:pos="720"/>
        </w:tabs>
        <w:ind w:left="720" w:hanging="360"/>
      </w:pPr>
      <w:rPr>
        <w:rFonts w:ascii="Symbol" w:hAnsi="Symbol" w:hint="default"/>
        <w:spacing w:val="0"/>
        <w:sz w:val="20"/>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5273248"/>
    <w:multiLevelType w:val="multilevel"/>
    <w:tmpl w:val="0409001D"/>
    <w:numStyleLink w:val="TableList"/>
  </w:abstractNum>
  <w:abstractNum w:abstractNumId="14">
    <w:nsid w:val="1C5471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EF255FA"/>
    <w:multiLevelType w:val="multilevel"/>
    <w:tmpl w:val="3FD2A9C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FF93BD8"/>
    <w:multiLevelType w:val="hybridMultilevel"/>
    <w:tmpl w:val="AA54CFEA"/>
    <w:lvl w:ilvl="0" w:tplc="F1305970">
      <w:start w:val="1"/>
      <w:numFmt w:val="decimal"/>
      <w:lvlText w:val="%1."/>
      <w:lvlJc w:val="left"/>
      <w:pPr>
        <w:tabs>
          <w:tab w:val="num" w:pos="720"/>
        </w:tabs>
        <w:ind w:left="720" w:hanging="360"/>
      </w:pPr>
    </w:lvl>
    <w:lvl w:ilvl="1" w:tplc="351CBD7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6218CB"/>
    <w:multiLevelType w:val="multilevel"/>
    <w:tmpl w:val="0409001D"/>
    <w:numStyleLink w:val="NormalList"/>
  </w:abstractNum>
  <w:abstractNum w:abstractNumId="18">
    <w:nsid w:val="23BD4EE5"/>
    <w:multiLevelType w:val="multilevel"/>
    <w:tmpl w:val="73448ABC"/>
    <w:lvl w:ilvl="0">
      <w:start w:val="1"/>
      <w:numFmt w:val="bullet"/>
      <w:lvlText w:val=""/>
      <w:lvlJc w:val="left"/>
      <w:pPr>
        <w:tabs>
          <w:tab w:val="num" w:pos="187"/>
        </w:tabs>
        <w:ind w:left="720" w:hanging="72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44349D8"/>
    <w:multiLevelType w:val="hybridMultilevel"/>
    <w:tmpl w:val="2DD6B3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5892B6B"/>
    <w:multiLevelType w:val="multilevel"/>
    <w:tmpl w:val="0409001D"/>
    <w:numStyleLink w:val="TableList"/>
  </w:abstractNum>
  <w:abstractNum w:abstractNumId="21">
    <w:nsid w:val="25B553C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817E11"/>
    <w:multiLevelType w:val="multilevel"/>
    <w:tmpl w:val="56C4F09A"/>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5AD79B1"/>
    <w:multiLevelType w:val="hybridMultilevel"/>
    <w:tmpl w:val="973A003C"/>
    <w:lvl w:ilvl="0" w:tplc="17F43B5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AE21F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B75424A"/>
    <w:multiLevelType w:val="multilevel"/>
    <w:tmpl w:val="0409001D"/>
    <w:numStyleLink w:val="NormalList"/>
  </w:abstractNum>
  <w:abstractNum w:abstractNumId="26">
    <w:nsid w:val="411F1625"/>
    <w:multiLevelType w:val="multilevel"/>
    <w:tmpl w:val="FC142562"/>
    <w:lvl w:ilvl="0">
      <w:start w:val="1"/>
      <w:numFmt w:val="bullet"/>
      <w:lvlText w:val=""/>
      <w:lvlJc w:val="left"/>
      <w:pPr>
        <w:tabs>
          <w:tab w:val="num" w:pos="1800"/>
        </w:tabs>
        <w:ind w:left="1800" w:hanging="720"/>
      </w:pPr>
      <w:rPr>
        <w:rFonts w:ascii="Symbol" w:hAnsi="Symbol" w:hint="default"/>
        <w:sz w:val="20"/>
        <w:vertAlign w:val="subscrip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2B155AB"/>
    <w:multiLevelType w:val="hybridMultilevel"/>
    <w:tmpl w:val="865ABE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38226CE"/>
    <w:multiLevelType w:val="multilevel"/>
    <w:tmpl w:val="0409001D"/>
    <w:numStyleLink w:val="TableList"/>
  </w:abstractNum>
  <w:abstractNum w:abstractNumId="29">
    <w:nsid w:val="4AA55649"/>
    <w:multiLevelType w:val="hybridMultilevel"/>
    <w:tmpl w:val="8988C8AC"/>
    <w:lvl w:ilvl="0" w:tplc="56488D84">
      <w:start w:val="1"/>
      <w:numFmt w:val="bullet"/>
      <w:lvlText w:val=""/>
      <w:lvlJc w:val="left"/>
      <w:pPr>
        <w:tabs>
          <w:tab w:val="num" w:pos="720"/>
        </w:tabs>
        <w:ind w:left="720" w:hanging="720"/>
      </w:pPr>
      <w:rPr>
        <w:rFonts w:ascii="Symbol" w:hAnsi="Symbol" w:hint="default"/>
        <w:spacing w:val="0"/>
        <w:sz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D3A726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571036D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82F3CC9"/>
    <w:multiLevelType w:val="multilevel"/>
    <w:tmpl w:val="0409001D"/>
    <w:numStyleLink w:val="NormalList"/>
  </w:abstractNum>
  <w:abstractNum w:abstractNumId="33">
    <w:nsid w:val="58FD3834"/>
    <w:multiLevelType w:val="multilevel"/>
    <w:tmpl w:val="91AAC566"/>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400"/>
        </w:tabs>
        <w:ind w:left="5040" w:hanging="1440"/>
      </w:pPr>
    </w:lvl>
  </w:abstractNum>
  <w:abstractNum w:abstractNumId="34">
    <w:nsid w:val="59834EC1"/>
    <w:multiLevelType w:val="multilevel"/>
    <w:tmpl w:val="3FD2A9C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0392C0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4A26E6E"/>
    <w:multiLevelType w:val="multilevel"/>
    <w:tmpl w:val="0409001D"/>
    <w:numStyleLink w:val="TableList"/>
  </w:abstractNum>
  <w:abstractNum w:abstractNumId="37">
    <w:nsid w:val="64CF1D4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50411E9"/>
    <w:multiLevelType w:val="multilevel"/>
    <w:tmpl w:val="0409001D"/>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5E716CA"/>
    <w:multiLevelType w:val="multilevel"/>
    <w:tmpl w:val="63C888DA"/>
    <w:lvl w:ilvl="0">
      <w:start w:val="1"/>
      <w:numFmt w:val="bullet"/>
      <w:lvlText w:val="o"/>
      <w:lvlJc w:val="left"/>
      <w:pPr>
        <w:tabs>
          <w:tab w:val="num" w:pos="1080"/>
        </w:tabs>
        <w:ind w:left="1080" w:hanging="360"/>
      </w:pPr>
      <w:rPr>
        <w:rFonts w:ascii="Courier New" w:hAnsi="Courier New" w:hint="default"/>
        <w:position w:val="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68C46455"/>
    <w:multiLevelType w:val="multilevel"/>
    <w:tmpl w:val="E98E77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A187B06"/>
    <w:multiLevelType w:val="hybridMultilevel"/>
    <w:tmpl w:val="B3A44E1A"/>
    <w:lvl w:ilvl="0" w:tplc="5FF6DCA8">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A6B5434"/>
    <w:multiLevelType w:val="multilevel"/>
    <w:tmpl w:val="0409001D"/>
    <w:styleLink w:val="TableList"/>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A9C348E"/>
    <w:multiLevelType w:val="multilevel"/>
    <w:tmpl w:val="0409001D"/>
    <w:numStyleLink w:val="MCQList"/>
  </w:abstractNum>
  <w:abstractNum w:abstractNumId="44">
    <w:nsid w:val="6F2F33D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51B6221"/>
    <w:multiLevelType w:val="multilevel"/>
    <w:tmpl w:val="0409001D"/>
    <w:numStyleLink w:val="NormalList"/>
  </w:abstractNum>
  <w:abstractNum w:abstractNumId="46">
    <w:nsid w:val="75202C18"/>
    <w:multiLevelType w:val="hybridMultilevel"/>
    <w:tmpl w:val="9DF414DE"/>
    <w:lvl w:ilvl="0" w:tplc="00030409">
      <w:start w:val="1"/>
      <w:numFmt w:val="bullet"/>
      <w:lvlText w:val="o"/>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7">
    <w:nsid w:val="7B1A70F6"/>
    <w:multiLevelType w:val="multilevel"/>
    <w:tmpl w:val="0409001D"/>
    <w:styleLink w:val="MCQ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E6545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7FB62E5F"/>
    <w:multiLevelType w:val="multilevel"/>
    <w:tmpl w:val="0409001D"/>
    <w:styleLink w:val="NormalList"/>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35"/>
  </w:num>
  <w:num w:numId="13">
    <w:abstractNumId w:val="30"/>
  </w:num>
  <w:num w:numId="14">
    <w:abstractNumId w:val="46"/>
  </w:num>
  <w:num w:numId="15">
    <w:abstractNumId w:val="23"/>
  </w:num>
  <w:num w:numId="16">
    <w:abstractNumId w:val="41"/>
  </w:num>
  <w:num w:numId="17">
    <w:abstractNumId w:val="18"/>
  </w:num>
  <w:num w:numId="18">
    <w:abstractNumId w:val="40"/>
  </w:num>
  <w:num w:numId="19">
    <w:abstractNumId w:val="22"/>
  </w:num>
  <w:num w:numId="20">
    <w:abstractNumId w:val="10"/>
  </w:num>
  <w:num w:numId="21">
    <w:abstractNumId w:val="15"/>
  </w:num>
  <w:num w:numId="22">
    <w:abstractNumId w:val="38"/>
  </w:num>
  <w:num w:numId="23">
    <w:abstractNumId w:val="34"/>
  </w:num>
  <w:num w:numId="24">
    <w:abstractNumId w:val="39"/>
  </w:num>
  <w:num w:numId="25">
    <w:abstractNumId w:val="29"/>
  </w:num>
  <w:num w:numId="26">
    <w:abstractNumId w:val="26"/>
  </w:num>
  <w:num w:numId="27">
    <w:abstractNumId w:val="12"/>
  </w:num>
  <w:num w:numId="28">
    <w:abstractNumId w:val="24"/>
  </w:num>
  <w:num w:numId="29">
    <w:abstractNumId w:val="48"/>
  </w:num>
  <w:num w:numId="30">
    <w:abstractNumId w:val="44"/>
  </w:num>
  <w:num w:numId="31">
    <w:abstractNumId w:val="31"/>
  </w:num>
  <w:num w:numId="32">
    <w:abstractNumId w:val="21"/>
  </w:num>
  <w:num w:numId="33">
    <w:abstractNumId w:val="37"/>
  </w:num>
  <w:num w:numId="34">
    <w:abstractNumId w:val="16"/>
  </w:num>
  <w:num w:numId="35">
    <w:abstractNumId w:val="33"/>
  </w:num>
  <w:num w:numId="36">
    <w:abstractNumId w:val="47"/>
  </w:num>
  <w:num w:numId="37">
    <w:abstractNumId w:val="43"/>
  </w:num>
  <w:num w:numId="38">
    <w:abstractNumId w:val="49"/>
  </w:num>
  <w:num w:numId="39">
    <w:abstractNumId w:val="17"/>
  </w:num>
  <w:num w:numId="40">
    <w:abstractNumId w:val="32"/>
  </w:num>
  <w:num w:numId="41">
    <w:abstractNumId w:val="45"/>
  </w:num>
  <w:num w:numId="42">
    <w:abstractNumId w:val="42"/>
  </w:num>
  <w:num w:numId="43">
    <w:abstractNumId w:val="11"/>
  </w:num>
  <w:num w:numId="44">
    <w:abstractNumId w:val="25"/>
  </w:num>
  <w:num w:numId="45">
    <w:abstractNumId w:val="36"/>
  </w:num>
  <w:num w:numId="46">
    <w:abstractNumId w:val="13"/>
  </w:num>
  <w:num w:numId="47">
    <w:abstractNumId w:val="28"/>
  </w:num>
  <w:num w:numId="48">
    <w:abstractNumId w:val="20"/>
  </w:num>
  <w:num w:numId="49">
    <w:abstractNumId w:val="27"/>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1&lt;/Enabled&gt;&lt;ScanUnformatted&gt;1&lt;/ScanUnformatted&gt;&lt;ScanChanges&gt;1&lt;/ScanChanges&gt;&lt;/InstantFormat&gt;"/>
  </w:docVars>
  <w:rsids>
    <w:rsidRoot w:val="00596D1E"/>
    <w:rsid w:val="0000352E"/>
    <w:rsid w:val="00004DAD"/>
    <w:rsid w:val="000061B4"/>
    <w:rsid w:val="00017DC1"/>
    <w:rsid w:val="00024099"/>
    <w:rsid w:val="000302F4"/>
    <w:rsid w:val="00030723"/>
    <w:rsid w:val="00032C9F"/>
    <w:rsid w:val="000347B9"/>
    <w:rsid w:val="00036B33"/>
    <w:rsid w:val="00040338"/>
    <w:rsid w:val="00044ADA"/>
    <w:rsid w:val="00047225"/>
    <w:rsid w:val="0005382B"/>
    <w:rsid w:val="00053C98"/>
    <w:rsid w:val="000561FD"/>
    <w:rsid w:val="00056B43"/>
    <w:rsid w:val="000609DE"/>
    <w:rsid w:val="00060BFF"/>
    <w:rsid w:val="0007142C"/>
    <w:rsid w:val="000725EC"/>
    <w:rsid w:val="00072962"/>
    <w:rsid w:val="00072DC2"/>
    <w:rsid w:val="000735AC"/>
    <w:rsid w:val="00073FE7"/>
    <w:rsid w:val="00075C4E"/>
    <w:rsid w:val="000831AA"/>
    <w:rsid w:val="000844EF"/>
    <w:rsid w:val="000861CA"/>
    <w:rsid w:val="000919EE"/>
    <w:rsid w:val="00092946"/>
    <w:rsid w:val="000940FC"/>
    <w:rsid w:val="00095B19"/>
    <w:rsid w:val="00096C18"/>
    <w:rsid w:val="000A1785"/>
    <w:rsid w:val="000A4C5C"/>
    <w:rsid w:val="000A5361"/>
    <w:rsid w:val="000A6F76"/>
    <w:rsid w:val="000B04AD"/>
    <w:rsid w:val="000B0C6D"/>
    <w:rsid w:val="000B22A0"/>
    <w:rsid w:val="000B2B3B"/>
    <w:rsid w:val="000B4B40"/>
    <w:rsid w:val="000B51A9"/>
    <w:rsid w:val="000B618B"/>
    <w:rsid w:val="000C153A"/>
    <w:rsid w:val="000C47B3"/>
    <w:rsid w:val="000D4042"/>
    <w:rsid w:val="000D462B"/>
    <w:rsid w:val="000D4BFB"/>
    <w:rsid w:val="000D6783"/>
    <w:rsid w:val="000D7C1B"/>
    <w:rsid w:val="000E035D"/>
    <w:rsid w:val="000E3244"/>
    <w:rsid w:val="000E37DF"/>
    <w:rsid w:val="000E50AB"/>
    <w:rsid w:val="000E540B"/>
    <w:rsid w:val="000F04B7"/>
    <w:rsid w:val="000F3364"/>
    <w:rsid w:val="000F36D2"/>
    <w:rsid w:val="000F4656"/>
    <w:rsid w:val="00102EFD"/>
    <w:rsid w:val="00103475"/>
    <w:rsid w:val="0010435A"/>
    <w:rsid w:val="00104AA9"/>
    <w:rsid w:val="00104FCD"/>
    <w:rsid w:val="001101E2"/>
    <w:rsid w:val="00110395"/>
    <w:rsid w:val="00110559"/>
    <w:rsid w:val="00112202"/>
    <w:rsid w:val="001123EF"/>
    <w:rsid w:val="001138B1"/>
    <w:rsid w:val="0011400A"/>
    <w:rsid w:val="00114FC5"/>
    <w:rsid w:val="00115A82"/>
    <w:rsid w:val="00117EEC"/>
    <w:rsid w:val="001212B0"/>
    <w:rsid w:val="0012376C"/>
    <w:rsid w:val="00123E45"/>
    <w:rsid w:val="0013048F"/>
    <w:rsid w:val="001310EA"/>
    <w:rsid w:val="0013184E"/>
    <w:rsid w:val="00135442"/>
    <w:rsid w:val="00137BB2"/>
    <w:rsid w:val="00140752"/>
    <w:rsid w:val="00143DA9"/>
    <w:rsid w:val="00144AF2"/>
    <w:rsid w:val="00144E53"/>
    <w:rsid w:val="0014558A"/>
    <w:rsid w:val="00156F04"/>
    <w:rsid w:val="001577D5"/>
    <w:rsid w:val="0016075B"/>
    <w:rsid w:val="00161178"/>
    <w:rsid w:val="00163396"/>
    <w:rsid w:val="00166242"/>
    <w:rsid w:val="00166306"/>
    <w:rsid w:val="00167CF9"/>
    <w:rsid w:val="001753BA"/>
    <w:rsid w:val="0018008A"/>
    <w:rsid w:val="00180970"/>
    <w:rsid w:val="00181043"/>
    <w:rsid w:val="0018430F"/>
    <w:rsid w:val="00187853"/>
    <w:rsid w:val="00195082"/>
    <w:rsid w:val="001952BD"/>
    <w:rsid w:val="0019761B"/>
    <w:rsid w:val="00197FB9"/>
    <w:rsid w:val="001A116D"/>
    <w:rsid w:val="001A3F5B"/>
    <w:rsid w:val="001A45FF"/>
    <w:rsid w:val="001A4ABE"/>
    <w:rsid w:val="001A5458"/>
    <w:rsid w:val="001A56B7"/>
    <w:rsid w:val="001A74B9"/>
    <w:rsid w:val="001B1A8F"/>
    <w:rsid w:val="001B394B"/>
    <w:rsid w:val="001B50F3"/>
    <w:rsid w:val="001B53B2"/>
    <w:rsid w:val="001B5666"/>
    <w:rsid w:val="001B6D37"/>
    <w:rsid w:val="001C1C62"/>
    <w:rsid w:val="001C290C"/>
    <w:rsid w:val="001C41F0"/>
    <w:rsid w:val="001D2D3B"/>
    <w:rsid w:val="001D57B8"/>
    <w:rsid w:val="001D781A"/>
    <w:rsid w:val="001E19A2"/>
    <w:rsid w:val="001E23A8"/>
    <w:rsid w:val="001E5152"/>
    <w:rsid w:val="001F32A0"/>
    <w:rsid w:val="001F3328"/>
    <w:rsid w:val="0020272F"/>
    <w:rsid w:val="00202957"/>
    <w:rsid w:val="0020417F"/>
    <w:rsid w:val="00204B8A"/>
    <w:rsid w:val="00206B65"/>
    <w:rsid w:val="00210CCC"/>
    <w:rsid w:val="00212A2D"/>
    <w:rsid w:val="00213209"/>
    <w:rsid w:val="00213984"/>
    <w:rsid w:val="002172AA"/>
    <w:rsid w:val="00220D62"/>
    <w:rsid w:val="00220DFD"/>
    <w:rsid w:val="00222E95"/>
    <w:rsid w:val="00225038"/>
    <w:rsid w:val="00227829"/>
    <w:rsid w:val="00230706"/>
    <w:rsid w:val="00235950"/>
    <w:rsid w:val="00237A0B"/>
    <w:rsid w:val="002402E9"/>
    <w:rsid w:val="002422B8"/>
    <w:rsid w:val="00242A5B"/>
    <w:rsid w:val="00243094"/>
    <w:rsid w:val="00245048"/>
    <w:rsid w:val="002524AB"/>
    <w:rsid w:val="00253B22"/>
    <w:rsid w:val="00253EC8"/>
    <w:rsid w:val="00254E9A"/>
    <w:rsid w:val="00260892"/>
    <w:rsid w:val="002628C7"/>
    <w:rsid w:val="00266D88"/>
    <w:rsid w:val="00267F5A"/>
    <w:rsid w:val="00271F77"/>
    <w:rsid w:val="002751D8"/>
    <w:rsid w:val="002755E4"/>
    <w:rsid w:val="00287FD2"/>
    <w:rsid w:val="00290741"/>
    <w:rsid w:val="002A3847"/>
    <w:rsid w:val="002A417C"/>
    <w:rsid w:val="002A43F6"/>
    <w:rsid w:val="002A4AA0"/>
    <w:rsid w:val="002A6CD4"/>
    <w:rsid w:val="002B421F"/>
    <w:rsid w:val="002B4E91"/>
    <w:rsid w:val="002B509A"/>
    <w:rsid w:val="002C445F"/>
    <w:rsid w:val="002C49D0"/>
    <w:rsid w:val="002C6421"/>
    <w:rsid w:val="002D2B95"/>
    <w:rsid w:val="002D46BD"/>
    <w:rsid w:val="002D4D66"/>
    <w:rsid w:val="002D4DCB"/>
    <w:rsid w:val="002D71CB"/>
    <w:rsid w:val="002E31E6"/>
    <w:rsid w:val="002E3FC1"/>
    <w:rsid w:val="002E5A0C"/>
    <w:rsid w:val="002E6CCC"/>
    <w:rsid w:val="002F3EA4"/>
    <w:rsid w:val="002F43E9"/>
    <w:rsid w:val="002F47BD"/>
    <w:rsid w:val="00300328"/>
    <w:rsid w:val="00303D92"/>
    <w:rsid w:val="00307788"/>
    <w:rsid w:val="00307ED4"/>
    <w:rsid w:val="0031291F"/>
    <w:rsid w:val="00314D9A"/>
    <w:rsid w:val="00320776"/>
    <w:rsid w:val="003212FD"/>
    <w:rsid w:val="00321842"/>
    <w:rsid w:val="00323F4E"/>
    <w:rsid w:val="00326657"/>
    <w:rsid w:val="0032719B"/>
    <w:rsid w:val="00331718"/>
    <w:rsid w:val="00332A9C"/>
    <w:rsid w:val="00332E56"/>
    <w:rsid w:val="00332E6D"/>
    <w:rsid w:val="003331B9"/>
    <w:rsid w:val="003341CC"/>
    <w:rsid w:val="0033459B"/>
    <w:rsid w:val="00334F5E"/>
    <w:rsid w:val="00335008"/>
    <w:rsid w:val="00336293"/>
    <w:rsid w:val="0034073F"/>
    <w:rsid w:val="003425E0"/>
    <w:rsid w:val="00342D3B"/>
    <w:rsid w:val="00343ACA"/>
    <w:rsid w:val="0034404C"/>
    <w:rsid w:val="00344BD4"/>
    <w:rsid w:val="00346ECC"/>
    <w:rsid w:val="00351E97"/>
    <w:rsid w:val="00355936"/>
    <w:rsid w:val="00360E74"/>
    <w:rsid w:val="00367DB0"/>
    <w:rsid w:val="00371084"/>
    <w:rsid w:val="0037222E"/>
    <w:rsid w:val="00372CE4"/>
    <w:rsid w:val="003743B4"/>
    <w:rsid w:val="003755F8"/>
    <w:rsid w:val="003767BB"/>
    <w:rsid w:val="003822EE"/>
    <w:rsid w:val="003827DC"/>
    <w:rsid w:val="00382DA4"/>
    <w:rsid w:val="003842BC"/>
    <w:rsid w:val="00385F20"/>
    <w:rsid w:val="00387BEC"/>
    <w:rsid w:val="003943FD"/>
    <w:rsid w:val="003A4FCB"/>
    <w:rsid w:val="003B00A8"/>
    <w:rsid w:val="003B29F0"/>
    <w:rsid w:val="003B4B6D"/>
    <w:rsid w:val="003C145F"/>
    <w:rsid w:val="003C1E98"/>
    <w:rsid w:val="003C2007"/>
    <w:rsid w:val="003C6D66"/>
    <w:rsid w:val="003C6DA9"/>
    <w:rsid w:val="003D196E"/>
    <w:rsid w:val="003D49CB"/>
    <w:rsid w:val="003D4C8A"/>
    <w:rsid w:val="003D4FBC"/>
    <w:rsid w:val="003D591F"/>
    <w:rsid w:val="003D6215"/>
    <w:rsid w:val="003E1B28"/>
    <w:rsid w:val="003E2AA6"/>
    <w:rsid w:val="003E43EC"/>
    <w:rsid w:val="003E54AE"/>
    <w:rsid w:val="003F3F21"/>
    <w:rsid w:val="003F424E"/>
    <w:rsid w:val="003F4D56"/>
    <w:rsid w:val="003F5D0E"/>
    <w:rsid w:val="004010A4"/>
    <w:rsid w:val="00401769"/>
    <w:rsid w:val="004024D7"/>
    <w:rsid w:val="00403F25"/>
    <w:rsid w:val="004060C5"/>
    <w:rsid w:val="00410FB7"/>
    <w:rsid w:val="0041167D"/>
    <w:rsid w:val="00412770"/>
    <w:rsid w:val="0041475E"/>
    <w:rsid w:val="004173A8"/>
    <w:rsid w:val="00427123"/>
    <w:rsid w:val="00427BE2"/>
    <w:rsid w:val="00432105"/>
    <w:rsid w:val="00434DBF"/>
    <w:rsid w:val="00435419"/>
    <w:rsid w:val="004366D3"/>
    <w:rsid w:val="00437D61"/>
    <w:rsid w:val="0044013D"/>
    <w:rsid w:val="00447DDE"/>
    <w:rsid w:val="00454F55"/>
    <w:rsid w:val="004561DB"/>
    <w:rsid w:val="004563E1"/>
    <w:rsid w:val="00457A2C"/>
    <w:rsid w:val="00457E33"/>
    <w:rsid w:val="00457F70"/>
    <w:rsid w:val="00461D3C"/>
    <w:rsid w:val="0046318D"/>
    <w:rsid w:val="00463ABC"/>
    <w:rsid w:val="00467B75"/>
    <w:rsid w:val="004711BC"/>
    <w:rsid w:val="004743CD"/>
    <w:rsid w:val="00474AB4"/>
    <w:rsid w:val="00476FF2"/>
    <w:rsid w:val="00480B25"/>
    <w:rsid w:val="00481B69"/>
    <w:rsid w:val="004863E0"/>
    <w:rsid w:val="00487C29"/>
    <w:rsid w:val="0049066C"/>
    <w:rsid w:val="00490A83"/>
    <w:rsid w:val="004976EE"/>
    <w:rsid w:val="004A1499"/>
    <w:rsid w:val="004A2157"/>
    <w:rsid w:val="004A255D"/>
    <w:rsid w:val="004A259B"/>
    <w:rsid w:val="004A2D4F"/>
    <w:rsid w:val="004A35B6"/>
    <w:rsid w:val="004A41FA"/>
    <w:rsid w:val="004A55A9"/>
    <w:rsid w:val="004B1629"/>
    <w:rsid w:val="004B2480"/>
    <w:rsid w:val="004C017A"/>
    <w:rsid w:val="004C2134"/>
    <w:rsid w:val="004C2516"/>
    <w:rsid w:val="004C2BF8"/>
    <w:rsid w:val="004C3335"/>
    <w:rsid w:val="004C47FE"/>
    <w:rsid w:val="004C49FA"/>
    <w:rsid w:val="004C5297"/>
    <w:rsid w:val="004C60D0"/>
    <w:rsid w:val="004C65A8"/>
    <w:rsid w:val="004D03F7"/>
    <w:rsid w:val="004D3C05"/>
    <w:rsid w:val="004D3FBD"/>
    <w:rsid w:val="004E03A6"/>
    <w:rsid w:val="004E0793"/>
    <w:rsid w:val="004E1FD2"/>
    <w:rsid w:val="004E2EB0"/>
    <w:rsid w:val="004E5E7D"/>
    <w:rsid w:val="004F2562"/>
    <w:rsid w:val="00500513"/>
    <w:rsid w:val="00501A80"/>
    <w:rsid w:val="00501CEC"/>
    <w:rsid w:val="0050287A"/>
    <w:rsid w:val="00506367"/>
    <w:rsid w:val="00507FEB"/>
    <w:rsid w:val="00511BF1"/>
    <w:rsid w:val="005123F2"/>
    <w:rsid w:val="00513FB4"/>
    <w:rsid w:val="00516C49"/>
    <w:rsid w:val="005201AE"/>
    <w:rsid w:val="00531AE8"/>
    <w:rsid w:val="00535BE3"/>
    <w:rsid w:val="00536570"/>
    <w:rsid w:val="005371B5"/>
    <w:rsid w:val="005411BA"/>
    <w:rsid w:val="00541E7E"/>
    <w:rsid w:val="00547D9D"/>
    <w:rsid w:val="00550316"/>
    <w:rsid w:val="00551DE2"/>
    <w:rsid w:val="005528F2"/>
    <w:rsid w:val="00557B7E"/>
    <w:rsid w:val="00560AE7"/>
    <w:rsid w:val="00560B2E"/>
    <w:rsid w:val="00562649"/>
    <w:rsid w:val="00563561"/>
    <w:rsid w:val="00564705"/>
    <w:rsid w:val="00564A2D"/>
    <w:rsid w:val="00566F59"/>
    <w:rsid w:val="00566FC9"/>
    <w:rsid w:val="00574290"/>
    <w:rsid w:val="00580BFA"/>
    <w:rsid w:val="005815A3"/>
    <w:rsid w:val="0058181B"/>
    <w:rsid w:val="00584D66"/>
    <w:rsid w:val="00587D4B"/>
    <w:rsid w:val="00592D46"/>
    <w:rsid w:val="005931FA"/>
    <w:rsid w:val="00593909"/>
    <w:rsid w:val="00596D1E"/>
    <w:rsid w:val="00597083"/>
    <w:rsid w:val="005A14D8"/>
    <w:rsid w:val="005A15DB"/>
    <w:rsid w:val="005A60D4"/>
    <w:rsid w:val="005A6D4E"/>
    <w:rsid w:val="005B243D"/>
    <w:rsid w:val="005B25C3"/>
    <w:rsid w:val="005B289A"/>
    <w:rsid w:val="005B2D18"/>
    <w:rsid w:val="005B51FB"/>
    <w:rsid w:val="005B76C3"/>
    <w:rsid w:val="005C2310"/>
    <w:rsid w:val="005C2A3C"/>
    <w:rsid w:val="005C2D8F"/>
    <w:rsid w:val="005C55D2"/>
    <w:rsid w:val="005C7E1F"/>
    <w:rsid w:val="005D01EF"/>
    <w:rsid w:val="005D73B8"/>
    <w:rsid w:val="005E19AA"/>
    <w:rsid w:val="005E2510"/>
    <w:rsid w:val="005E4062"/>
    <w:rsid w:val="005E599C"/>
    <w:rsid w:val="005E6811"/>
    <w:rsid w:val="005F2E1F"/>
    <w:rsid w:val="005F4AA5"/>
    <w:rsid w:val="005F6BD7"/>
    <w:rsid w:val="00601079"/>
    <w:rsid w:val="00601634"/>
    <w:rsid w:val="00601F21"/>
    <w:rsid w:val="00604661"/>
    <w:rsid w:val="0060500A"/>
    <w:rsid w:val="00605291"/>
    <w:rsid w:val="00605A67"/>
    <w:rsid w:val="0060653D"/>
    <w:rsid w:val="00610F4E"/>
    <w:rsid w:val="0061316C"/>
    <w:rsid w:val="00616EDB"/>
    <w:rsid w:val="006170D8"/>
    <w:rsid w:val="00617298"/>
    <w:rsid w:val="00621267"/>
    <w:rsid w:val="00624D14"/>
    <w:rsid w:val="00625607"/>
    <w:rsid w:val="0062697A"/>
    <w:rsid w:val="00630DD2"/>
    <w:rsid w:val="00631097"/>
    <w:rsid w:val="00632C33"/>
    <w:rsid w:val="006346BE"/>
    <w:rsid w:val="0063726B"/>
    <w:rsid w:val="00640580"/>
    <w:rsid w:val="00640AD6"/>
    <w:rsid w:val="006528D1"/>
    <w:rsid w:val="00653050"/>
    <w:rsid w:val="00653466"/>
    <w:rsid w:val="006542E0"/>
    <w:rsid w:val="00654983"/>
    <w:rsid w:val="006573F1"/>
    <w:rsid w:val="00657D0A"/>
    <w:rsid w:val="006655D5"/>
    <w:rsid w:val="006709B4"/>
    <w:rsid w:val="00673971"/>
    <w:rsid w:val="00674AA7"/>
    <w:rsid w:val="00674B19"/>
    <w:rsid w:val="00675986"/>
    <w:rsid w:val="00676CC1"/>
    <w:rsid w:val="0067720E"/>
    <w:rsid w:val="00677EE8"/>
    <w:rsid w:val="006807F7"/>
    <w:rsid w:val="00681061"/>
    <w:rsid w:val="006830B8"/>
    <w:rsid w:val="00683D6B"/>
    <w:rsid w:val="00693E3E"/>
    <w:rsid w:val="006966FB"/>
    <w:rsid w:val="00697068"/>
    <w:rsid w:val="006A21ED"/>
    <w:rsid w:val="006A2F01"/>
    <w:rsid w:val="006A4A50"/>
    <w:rsid w:val="006A5C54"/>
    <w:rsid w:val="006A68A8"/>
    <w:rsid w:val="006B0DDA"/>
    <w:rsid w:val="006B2CCC"/>
    <w:rsid w:val="006B2EC6"/>
    <w:rsid w:val="006B496F"/>
    <w:rsid w:val="006B62E6"/>
    <w:rsid w:val="006C1891"/>
    <w:rsid w:val="006C5848"/>
    <w:rsid w:val="006D2941"/>
    <w:rsid w:val="006D668B"/>
    <w:rsid w:val="006E2ADE"/>
    <w:rsid w:val="006E5367"/>
    <w:rsid w:val="006F3961"/>
    <w:rsid w:val="006F54AE"/>
    <w:rsid w:val="006F6984"/>
    <w:rsid w:val="00700A81"/>
    <w:rsid w:val="007030C4"/>
    <w:rsid w:val="00712C53"/>
    <w:rsid w:val="0071322D"/>
    <w:rsid w:val="0071349A"/>
    <w:rsid w:val="0071615D"/>
    <w:rsid w:val="00716C05"/>
    <w:rsid w:val="007215E3"/>
    <w:rsid w:val="00721E71"/>
    <w:rsid w:val="00724CA1"/>
    <w:rsid w:val="00726D2E"/>
    <w:rsid w:val="00727276"/>
    <w:rsid w:val="00727E33"/>
    <w:rsid w:val="00732D4D"/>
    <w:rsid w:val="0073308E"/>
    <w:rsid w:val="00733DB3"/>
    <w:rsid w:val="00736686"/>
    <w:rsid w:val="00740657"/>
    <w:rsid w:val="00741BC6"/>
    <w:rsid w:val="007436F1"/>
    <w:rsid w:val="00746770"/>
    <w:rsid w:val="007478BE"/>
    <w:rsid w:val="00750119"/>
    <w:rsid w:val="00751B5F"/>
    <w:rsid w:val="00751EC6"/>
    <w:rsid w:val="00756B66"/>
    <w:rsid w:val="00757922"/>
    <w:rsid w:val="00757D18"/>
    <w:rsid w:val="00763DCF"/>
    <w:rsid w:val="00763FAB"/>
    <w:rsid w:val="007666BB"/>
    <w:rsid w:val="00767202"/>
    <w:rsid w:val="007677FC"/>
    <w:rsid w:val="00767AA8"/>
    <w:rsid w:val="0077137A"/>
    <w:rsid w:val="00771E3E"/>
    <w:rsid w:val="00771FB1"/>
    <w:rsid w:val="00772443"/>
    <w:rsid w:val="007755DC"/>
    <w:rsid w:val="00776EF4"/>
    <w:rsid w:val="00777168"/>
    <w:rsid w:val="00783D3D"/>
    <w:rsid w:val="0078436E"/>
    <w:rsid w:val="007938CC"/>
    <w:rsid w:val="00794CAA"/>
    <w:rsid w:val="007A051C"/>
    <w:rsid w:val="007A26F1"/>
    <w:rsid w:val="007A370C"/>
    <w:rsid w:val="007A3EF0"/>
    <w:rsid w:val="007A6FA2"/>
    <w:rsid w:val="007B0E5C"/>
    <w:rsid w:val="007C158F"/>
    <w:rsid w:val="007C30A1"/>
    <w:rsid w:val="007C7901"/>
    <w:rsid w:val="007D1467"/>
    <w:rsid w:val="007D59A9"/>
    <w:rsid w:val="007D5A6C"/>
    <w:rsid w:val="007D7B03"/>
    <w:rsid w:val="007E5276"/>
    <w:rsid w:val="007E6ECE"/>
    <w:rsid w:val="007F1553"/>
    <w:rsid w:val="007F258E"/>
    <w:rsid w:val="007F4230"/>
    <w:rsid w:val="007F4A74"/>
    <w:rsid w:val="007F54B8"/>
    <w:rsid w:val="007F5E15"/>
    <w:rsid w:val="007F6510"/>
    <w:rsid w:val="007F69A0"/>
    <w:rsid w:val="007F6D61"/>
    <w:rsid w:val="007F7DF5"/>
    <w:rsid w:val="008037E4"/>
    <w:rsid w:val="00803DE5"/>
    <w:rsid w:val="00804B69"/>
    <w:rsid w:val="00810294"/>
    <w:rsid w:val="008120CA"/>
    <w:rsid w:val="0081212B"/>
    <w:rsid w:val="00814120"/>
    <w:rsid w:val="008153CA"/>
    <w:rsid w:val="0081540C"/>
    <w:rsid w:val="0081724F"/>
    <w:rsid w:val="00823478"/>
    <w:rsid w:val="0082389E"/>
    <w:rsid w:val="008276BF"/>
    <w:rsid w:val="00830F14"/>
    <w:rsid w:val="00835688"/>
    <w:rsid w:val="00841EA4"/>
    <w:rsid w:val="00842A90"/>
    <w:rsid w:val="00844777"/>
    <w:rsid w:val="0084602E"/>
    <w:rsid w:val="00846215"/>
    <w:rsid w:val="0085541D"/>
    <w:rsid w:val="00855B7A"/>
    <w:rsid w:val="00864CB3"/>
    <w:rsid w:val="00865694"/>
    <w:rsid w:val="008661E1"/>
    <w:rsid w:val="008702D1"/>
    <w:rsid w:val="00871D5C"/>
    <w:rsid w:val="008723F4"/>
    <w:rsid w:val="008733D0"/>
    <w:rsid w:val="0087370B"/>
    <w:rsid w:val="00876F72"/>
    <w:rsid w:val="00886500"/>
    <w:rsid w:val="00886DD2"/>
    <w:rsid w:val="008870B3"/>
    <w:rsid w:val="008876FF"/>
    <w:rsid w:val="00887E0C"/>
    <w:rsid w:val="00895F6A"/>
    <w:rsid w:val="008A0D07"/>
    <w:rsid w:val="008A2F90"/>
    <w:rsid w:val="008A5185"/>
    <w:rsid w:val="008A587F"/>
    <w:rsid w:val="008A5918"/>
    <w:rsid w:val="008A5EFF"/>
    <w:rsid w:val="008B3EBC"/>
    <w:rsid w:val="008B50A7"/>
    <w:rsid w:val="008B50DE"/>
    <w:rsid w:val="008B66B5"/>
    <w:rsid w:val="008B6734"/>
    <w:rsid w:val="008B701D"/>
    <w:rsid w:val="008C0791"/>
    <w:rsid w:val="008C11C2"/>
    <w:rsid w:val="008C1E54"/>
    <w:rsid w:val="008C25EF"/>
    <w:rsid w:val="008C50DE"/>
    <w:rsid w:val="008C5A95"/>
    <w:rsid w:val="008C6310"/>
    <w:rsid w:val="008C682E"/>
    <w:rsid w:val="008D1652"/>
    <w:rsid w:val="008D3062"/>
    <w:rsid w:val="008D30A0"/>
    <w:rsid w:val="008D47C0"/>
    <w:rsid w:val="008D527A"/>
    <w:rsid w:val="008E0E53"/>
    <w:rsid w:val="008E2338"/>
    <w:rsid w:val="008F1D27"/>
    <w:rsid w:val="008F3329"/>
    <w:rsid w:val="008F43CD"/>
    <w:rsid w:val="008F43F2"/>
    <w:rsid w:val="008F446E"/>
    <w:rsid w:val="008F5F56"/>
    <w:rsid w:val="009011ED"/>
    <w:rsid w:val="00910776"/>
    <w:rsid w:val="0091204A"/>
    <w:rsid w:val="00914022"/>
    <w:rsid w:val="00915732"/>
    <w:rsid w:val="00915E42"/>
    <w:rsid w:val="00921317"/>
    <w:rsid w:val="00921900"/>
    <w:rsid w:val="00922FF3"/>
    <w:rsid w:val="00923A2A"/>
    <w:rsid w:val="00925172"/>
    <w:rsid w:val="009252E1"/>
    <w:rsid w:val="00935352"/>
    <w:rsid w:val="00937606"/>
    <w:rsid w:val="009376EC"/>
    <w:rsid w:val="00937A54"/>
    <w:rsid w:val="0094350D"/>
    <w:rsid w:val="009446A2"/>
    <w:rsid w:val="00951395"/>
    <w:rsid w:val="009518F6"/>
    <w:rsid w:val="0095786B"/>
    <w:rsid w:val="00965A9A"/>
    <w:rsid w:val="00967C1E"/>
    <w:rsid w:val="0097266B"/>
    <w:rsid w:val="00973585"/>
    <w:rsid w:val="0097510A"/>
    <w:rsid w:val="00976B07"/>
    <w:rsid w:val="00982DB0"/>
    <w:rsid w:val="00982EB3"/>
    <w:rsid w:val="00984985"/>
    <w:rsid w:val="009859C4"/>
    <w:rsid w:val="0099163C"/>
    <w:rsid w:val="00992D47"/>
    <w:rsid w:val="00994FF3"/>
    <w:rsid w:val="00995A35"/>
    <w:rsid w:val="009A04D7"/>
    <w:rsid w:val="009A1464"/>
    <w:rsid w:val="009A4456"/>
    <w:rsid w:val="009A5E4B"/>
    <w:rsid w:val="009A76FF"/>
    <w:rsid w:val="009B2297"/>
    <w:rsid w:val="009B2515"/>
    <w:rsid w:val="009B3D72"/>
    <w:rsid w:val="009B4E0B"/>
    <w:rsid w:val="009B56C5"/>
    <w:rsid w:val="009B58E8"/>
    <w:rsid w:val="009B5BB3"/>
    <w:rsid w:val="009C7CA7"/>
    <w:rsid w:val="009D28AE"/>
    <w:rsid w:val="009D3BD4"/>
    <w:rsid w:val="009D3ECA"/>
    <w:rsid w:val="009D6472"/>
    <w:rsid w:val="009E5DE0"/>
    <w:rsid w:val="009F1C3A"/>
    <w:rsid w:val="009F37F1"/>
    <w:rsid w:val="009F3C98"/>
    <w:rsid w:val="009F59B0"/>
    <w:rsid w:val="009F75DE"/>
    <w:rsid w:val="00A02C6A"/>
    <w:rsid w:val="00A06F55"/>
    <w:rsid w:val="00A12417"/>
    <w:rsid w:val="00A134E5"/>
    <w:rsid w:val="00A16ABC"/>
    <w:rsid w:val="00A20C4D"/>
    <w:rsid w:val="00A21C7F"/>
    <w:rsid w:val="00A21F00"/>
    <w:rsid w:val="00A24524"/>
    <w:rsid w:val="00A24DE7"/>
    <w:rsid w:val="00A3064A"/>
    <w:rsid w:val="00A311E1"/>
    <w:rsid w:val="00A31A1D"/>
    <w:rsid w:val="00A32DC1"/>
    <w:rsid w:val="00A32F42"/>
    <w:rsid w:val="00A34825"/>
    <w:rsid w:val="00A3698B"/>
    <w:rsid w:val="00A4214B"/>
    <w:rsid w:val="00A425B7"/>
    <w:rsid w:val="00A42CBC"/>
    <w:rsid w:val="00A46A5B"/>
    <w:rsid w:val="00A46E75"/>
    <w:rsid w:val="00A50AF7"/>
    <w:rsid w:val="00A52D7C"/>
    <w:rsid w:val="00A56F49"/>
    <w:rsid w:val="00A56F7A"/>
    <w:rsid w:val="00A67F10"/>
    <w:rsid w:val="00A707AA"/>
    <w:rsid w:val="00A70D0C"/>
    <w:rsid w:val="00A71D90"/>
    <w:rsid w:val="00A72CEC"/>
    <w:rsid w:val="00A73F58"/>
    <w:rsid w:val="00A87FAC"/>
    <w:rsid w:val="00A919A6"/>
    <w:rsid w:val="00A94320"/>
    <w:rsid w:val="00A94481"/>
    <w:rsid w:val="00A94CCC"/>
    <w:rsid w:val="00A951E2"/>
    <w:rsid w:val="00AA165E"/>
    <w:rsid w:val="00AA3D6F"/>
    <w:rsid w:val="00AA6728"/>
    <w:rsid w:val="00AA729D"/>
    <w:rsid w:val="00AB24A2"/>
    <w:rsid w:val="00AB40B3"/>
    <w:rsid w:val="00AB526B"/>
    <w:rsid w:val="00AB5B9C"/>
    <w:rsid w:val="00AC1613"/>
    <w:rsid w:val="00AC52FF"/>
    <w:rsid w:val="00AC6F21"/>
    <w:rsid w:val="00AD0218"/>
    <w:rsid w:val="00AD1B37"/>
    <w:rsid w:val="00AD248C"/>
    <w:rsid w:val="00AD54C5"/>
    <w:rsid w:val="00AD6E52"/>
    <w:rsid w:val="00AE38CE"/>
    <w:rsid w:val="00AE707F"/>
    <w:rsid w:val="00AF1453"/>
    <w:rsid w:val="00AF5AC7"/>
    <w:rsid w:val="00AF69B0"/>
    <w:rsid w:val="00B00432"/>
    <w:rsid w:val="00B00539"/>
    <w:rsid w:val="00B0280F"/>
    <w:rsid w:val="00B03588"/>
    <w:rsid w:val="00B04A84"/>
    <w:rsid w:val="00B068CF"/>
    <w:rsid w:val="00B14E7A"/>
    <w:rsid w:val="00B20217"/>
    <w:rsid w:val="00B208A7"/>
    <w:rsid w:val="00B24CFD"/>
    <w:rsid w:val="00B26463"/>
    <w:rsid w:val="00B27F10"/>
    <w:rsid w:val="00B330F5"/>
    <w:rsid w:val="00B35D1B"/>
    <w:rsid w:val="00B362A6"/>
    <w:rsid w:val="00B36DFF"/>
    <w:rsid w:val="00B37D1E"/>
    <w:rsid w:val="00B42920"/>
    <w:rsid w:val="00B47227"/>
    <w:rsid w:val="00B52618"/>
    <w:rsid w:val="00B5359F"/>
    <w:rsid w:val="00B60505"/>
    <w:rsid w:val="00B619F1"/>
    <w:rsid w:val="00B66806"/>
    <w:rsid w:val="00B737D1"/>
    <w:rsid w:val="00B80876"/>
    <w:rsid w:val="00B8267F"/>
    <w:rsid w:val="00B82E5C"/>
    <w:rsid w:val="00B83863"/>
    <w:rsid w:val="00B86A03"/>
    <w:rsid w:val="00B87784"/>
    <w:rsid w:val="00B979CF"/>
    <w:rsid w:val="00BA0B0C"/>
    <w:rsid w:val="00BA5C48"/>
    <w:rsid w:val="00BB210E"/>
    <w:rsid w:val="00BB29F2"/>
    <w:rsid w:val="00BC1C76"/>
    <w:rsid w:val="00BC3630"/>
    <w:rsid w:val="00BC6E99"/>
    <w:rsid w:val="00BC7945"/>
    <w:rsid w:val="00BD2626"/>
    <w:rsid w:val="00BD27E6"/>
    <w:rsid w:val="00BD4D79"/>
    <w:rsid w:val="00BD5554"/>
    <w:rsid w:val="00BD6862"/>
    <w:rsid w:val="00BE04B5"/>
    <w:rsid w:val="00BE36E9"/>
    <w:rsid w:val="00BE45C2"/>
    <w:rsid w:val="00BE7A6F"/>
    <w:rsid w:val="00BF03AD"/>
    <w:rsid w:val="00BF0981"/>
    <w:rsid w:val="00BF278D"/>
    <w:rsid w:val="00BF30EC"/>
    <w:rsid w:val="00BF45D5"/>
    <w:rsid w:val="00BF5039"/>
    <w:rsid w:val="00BF588E"/>
    <w:rsid w:val="00BF5FB2"/>
    <w:rsid w:val="00C0020D"/>
    <w:rsid w:val="00C00C09"/>
    <w:rsid w:val="00C022E7"/>
    <w:rsid w:val="00C042CF"/>
    <w:rsid w:val="00C043D8"/>
    <w:rsid w:val="00C049DE"/>
    <w:rsid w:val="00C06202"/>
    <w:rsid w:val="00C06C78"/>
    <w:rsid w:val="00C1044A"/>
    <w:rsid w:val="00C1059B"/>
    <w:rsid w:val="00C12A5D"/>
    <w:rsid w:val="00C13192"/>
    <w:rsid w:val="00C23050"/>
    <w:rsid w:val="00C23111"/>
    <w:rsid w:val="00C23B4C"/>
    <w:rsid w:val="00C24182"/>
    <w:rsid w:val="00C2492E"/>
    <w:rsid w:val="00C25551"/>
    <w:rsid w:val="00C262DD"/>
    <w:rsid w:val="00C2763C"/>
    <w:rsid w:val="00C35A91"/>
    <w:rsid w:val="00C42DEA"/>
    <w:rsid w:val="00C454AF"/>
    <w:rsid w:val="00C46638"/>
    <w:rsid w:val="00C471EB"/>
    <w:rsid w:val="00C50421"/>
    <w:rsid w:val="00C53412"/>
    <w:rsid w:val="00C54169"/>
    <w:rsid w:val="00C60212"/>
    <w:rsid w:val="00C61715"/>
    <w:rsid w:val="00C63BFB"/>
    <w:rsid w:val="00C74229"/>
    <w:rsid w:val="00C7588E"/>
    <w:rsid w:val="00C83F9B"/>
    <w:rsid w:val="00C86210"/>
    <w:rsid w:val="00C97408"/>
    <w:rsid w:val="00CA22FF"/>
    <w:rsid w:val="00CA3F38"/>
    <w:rsid w:val="00CA50AC"/>
    <w:rsid w:val="00CA6D1A"/>
    <w:rsid w:val="00CB274F"/>
    <w:rsid w:val="00CB4953"/>
    <w:rsid w:val="00CB5EE5"/>
    <w:rsid w:val="00CC3767"/>
    <w:rsid w:val="00CD4232"/>
    <w:rsid w:val="00CD747D"/>
    <w:rsid w:val="00CD7622"/>
    <w:rsid w:val="00CF08BD"/>
    <w:rsid w:val="00CF1DDC"/>
    <w:rsid w:val="00D00645"/>
    <w:rsid w:val="00D01A77"/>
    <w:rsid w:val="00D046BA"/>
    <w:rsid w:val="00D073AE"/>
    <w:rsid w:val="00D11249"/>
    <w:rsid w:val="00D12283"/>
    <w:rsid w:val="00D1334F"/>
    <w:rsid w:val="00D234F7"/>
    <w:rsid w:val="00D31076"/>
    <w:rsid w:val="00D358AA"/>
    <w:rsid w:val="00D3743B"/>
    <w:rsid w:val="00D41A04"/>
    <w:rsid w:val="00D42965"/>
    <w:rsid w:val="00D42D05"/>
    <w:rsid w:val="00D43B45"/>
    <w:rsid w:val="00D447BB"/>
    <w:rsid w:val="00D45C46"/>
    <w:rsid w:val="00D467C2"/>
    <w:rsid w:val="00D47B58"/>
    <w:rsid w:val="00D55764"/>
    <w:rsid w:val="00D5709E"/>
    <w:rsid w:val="00D57A37"/>
    <w:rsid w:val="00D623D4"/>
    <w:rsid w:val="00D631E0"/>
    <w:rsid w:val="00D66E14"/>
    <w:rsid w:val="00D67586"/>
    <w:rsid w:val="00D70B84"/>
    <w:rsid w:val="00D71C1F"/>
    <w:rsid w:val="00D71CBF"/>
    <w:rsid w:val="00D7466A"/>
    <w:rsid w:val="00D75F18"/>
    <w:rsid w:val="00D761D0"/>
    <w:rsid w:val="00D82183"/>
    <w:rsid w:val="00D84257"/>
    <w:rsid w:val="00D871AB"/>
    <w:rsid w:val="00D927F1"/>
    <w:rsid w:val="00D92F84"/>
    <w:rsid w:val="00D93CDB"/>
    <w:rsid w:val="00D94130"/>
    <w:rsid w:val="00DA279A"/>
    <w:rsid w:val="00DA349E"/>
    <w:rsid w:val="00DA3667"/>
    <w:rsid w:val="00DA3A2A"/>
    <w:rsid w:val="00DA71C7"/>
    <w:rsid w:val="00DB65D1"/>
    <w:rsid w:val="00DC2783"/>
    <w:rsid w:val="00DC40E2"/>
    <w:rsid w:val="00DD324D"/>
    <w:rsid w:val="00DD511B"/>
    <w:rsid w:val="00DE0913"/>
    <w:rsid w:val="00DE21D2"/>
    <w:rsid w:val="00DE401A"/>
    <w:rsid w:val="00DE61EE"/>
    <w:rsid w:val="00DE796E"/>
    <w:rsid w:val="00DF77CE"/>
    <w:rsid w:val="00E00DB7"/>
    <w:rsid w:val="00E0532F"/>
    <w:rsid w:val="00E058FF"/>
    <w:rsid w:val="00E117AD"/>
    <w:rsid w:val="00E1220C"/>
    <w:rsid w:val="00E1235C"/>
    <w:rsid w:val="00E12570"/>
    <w:rsid w:val="00E14063"/>
    <w:rsid w:val="00E14156"/>
    <w:rsid w:val="00E144C6"/>
    <w:rsid w:val="00E1496F"/>
    <w:rsid w:val="00E14EC7"/>
    <w:rsid w:val="00E20025"/>
    <w:rsid w:val="00E21942"/>
    <w:rsid w:val="00E232ED"/>
    <w:rsid w:val="00E270C9"/>
    <w:rsid w:val="00E274EB"/>
    <w:rsid w:val="00E27F49"/>
    <w:rsid w:val="00E32EEE"/>
    <w:rsid w:val="00E34ECB"/>
    <w:rsid w:val="00E37069"/>
    <w:rsid w:val="00E42423"/>
    <w:rsid w:val="00E439BB"/>
    <w:rsid w:val="00E4642B"/>
    <w:rsid w:val="00E548F6"/>
    <w:rsid w:val="00E549B5"/>
    <w:rsid w:val="00E624D2"/>
    <w:rsid w:val="00E62DFA"/>
    <w:rsid w:val="00E641A2"/>
    <w:rsid w:val="00E64CA1"/>
    <w:rsid w:val="00E65036"/>
    <w:rsid w:val="00E665CB"/>
    <w:rsid w:val="00E6783F"/>
    <w:rsid w:val="00E67C9E"/>
    <w:rsid w:val="00E713B2"/>
    <w:rsid w:val="00E726DD"/>
    <w:rsid w:val="00E727B2"/>
    <w:rsid w:val="00E7595D"/>
    <w:rsid w:val="00E75EBB"/>
    <w:rsid w:val="00E80CE5"/>
    <w:rsid w:val="00E870C0"/>
    <w:rsid w:val="00E91EC1"/>
    <w:rsid w:val="00E94DA1"/>
    <w:rsid w:val="00E965B9"/>
    <w:rsid w:val="00EA0916"/>
    <w:rsid w:val="00EA09C5"/>
    <w:rsid w:val="00EA138E"/>
    <w:rsid w:val="00EA272C"/>
    <w:rsid w:val="00EA60D0"/>
    <w:rsid w:val="00EA6C95"/>
    <w:rsid w:val="00EA7033"/>
    <w:rsid w:val="00EB034F"/>
    <w:rsid w:val="00EB2DC2"/>
    <w:rsid w:val="00EC18C1"/>
    <w:rsid w:val="00EC2B5C"/>
    <w:rsid w:val="00EC2C10"/>
    <w:rsid w:val="00EC2E11"/>
    <w:rsid w:val="00ED1850"/>
    <w:rsid w:val="00ED3E3F"/>
    <w:rsid w:val="00ED3FE9"/>
    <w:rsid w:val="00ED632C"/>
    <w:rsid w:val="00ED6854"/>
    <w:rsid w:val="00EE0F96"/>
    <w:rsid w:val="00EE1902"/>
    <w:rsid w:val="00EE3469"/>
    <w:rsid w:val="00EE3A76"/>
    <w:rsid w:val="00EE4226"/>
    <w:rsid w:val="00EF0C01"/>
    <w:rsid w:val="00EF1EDC"/>
    <w:rsid w:val="00EF37ED"/>
    <w:rsid w:val="00EF40CC"/>
    <w:rsid w:val="00EF5729"/>
    <w:rsid w:val="00EF5A65"/>
    <w:rsid w:val="00EF79D5"/>
    <w:rsid w:val="00F01C0F"/>
    <w:rsid w:val="00F07F90"/>
    <w:rsid w:val="00F14A6E"/>
    <w:rsid w:val="00F167B5"/>
    <w:rsid w:val="00F16C53"/>
    <w:rsid w:val="00F170C4"/>
    <w:rsid w:val="00F20295"/>
    <w:rsid w:val="00F2071B"/>
    <w:rsid w:val="00F2234C"/>
    <w:rsid w:val="00F23108"/>
    <w:rsid w:val="00F2526A"/>
    <w:rsid w:val="00F34A29"/>
    <w:rsid w:val="00F36535"/>
    <w:rsid w:val="00F36DAF"/>
    <w:rsid w:val="00F37CF2"/>
    <w:rsid w:val="00F40AA0"/>
    <w:rsid w:val="00F42B6C"/>
    <w:rsid w:val="00F449EC"/>
    <w:rsid w:val="00F52A35"/>
    <w:rsid w:val="00F57642"/>
    <w:rsid w:val="00F57FCF"/>
    <w:rsid w:val="00F6044A"/>
    <w:rsid w:val="00F60AF6"/>
    <w:rsid w:val="00F62568"/>
    <w:rsid w:val="00F6512B"/>
    <w:rsid w:val="00F65690"/>
    <w:rsid w:val="00F65A99"/>
    <w:rsid w:val="00F67789"/>
    <w:rsid w:val="00F7742C"/>
    <w:rsid w:val="00F80618"/>
    <w:rsid w:val="00F81EE7"/>
    <w:rsid w:val="00F82DC9"/>
    <w:rsid w:val="00F878B3"/>
    <w:rsid w:val="00F941E2"/>
    <w:rsid w:val="00F95B3C"/>
    <w:rsid w:val="00F97D00"/>
    <w:rsid w:val="00FA15BC"/>
    <w:rsid w:val="00FA2A7F"/>
    <w:rsid w:val="00FA2EB8"/>
    <w:rsid w:val="00FA51DE"/>
    <w:rsid w:val="00FA589D"/>
    <w:rsid w:val="00FA74CB"/>
    <w:rsid w:val="00FB03AA"/>
    <w:rsid w:val="00FB124D"/>
    <w:rsid w:val="00FB1C8B"/>
    <w:rsid w:val="00FB28D8"/>
    <w:rsid w:val="00FB29B8"/>
    <w:rsid w:val="00FB4207"/>
    <w:rsid w:val="00FC1CEC"/>
    <w:rsid w:val="00FC4C1A"/>
    <w:rsid w:val="00FC4E0F"/>
    <w:rsid w:val="00FD0702"/>
    <w:rsid w:val="00FD3C9C"/>
    <w:rsid w:val="00FD4694"/>
    <w:rsid w:val="00FD5014"/>
    <w:rsid w:val="00FE12A8"/>
    <w:rsid w:val="00FE1BFE"/>
    <w:rsid w:val="00FE2BFC"/>
    <w:rsid w:val="00FE4270"/>
    <w:rsid w:val="00FE515E"/>
    <w:rsid w:val="00FE6C7B"/>
    <w:rsid w:val="00FF2E5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769"/>
    <w:pPr>
      <w:spacing w:before="140" w:after="140"/>
    </w:pPr>
    <w:rPr>
      <w:rFonts w:ascii="HelveticaNeue LT 55 Roman" w:hAnsi="HelveticaNeue LT 55 Roman"/>
      <w:sz w:val="22"/>
      <w:szCs w:val="24"/>
    </w:rPr>
  </w:style>
  <w:style w:type="paragraph" w:styleId="Heading1">
    <w:name w:val="heading 1"/>
    <w:basedOn w:val="Normal"/>
    <w:next w:val="Normal"/>
    <w:link w:val="Heading1Char"/>
    <w:uiPriority w:val="9"/>
    <w:qFormat/>
    <w:rsid w:val="00FD3C9C"/>
    <w:pPr>
      <w:keepNext/>
      <w:pageBreakBefore/>
      <w:spacing w:after="720"/>
      <w:outlineLvl w:val="0"/>
    </w:pPr>
    <w:rPr>
      <w:rFonts w:ascii="HelveticaNeue LT 45 Lt" w:hAnsi="HelveticaNeue LT 45 Lt" w:cs="Arial"/>
      <w:bCs/>
      <w:color w:val="0066CC"/>
      <w:kern w:val="32"/>
      <w:sz w:val="56"/>
      <w:szCs w:val="32"/>
    </w:rPr>
  </w:style>
  <w:style w:type="paragraph" w:styleId="Heading2">
    <w:name w:val="heading 2"/>
    <w:basedOn w:val="Normal"/>
    <w:next w:val="Normal"/>
    <w:qFormat/>
    <w:rsid w:val="00FD3C9C"/>
    <w:pPr>
      <w:keepNext/>
      <w:spacing w:before="300" w:after="300"/>
      <w:outlineLvl w:val="1"/>
    </w:pPr>
    <w:rPr>
      <w:rFonts w:ascii="HelveticaNeue LT 57 Cn" w:hAnsi="HelveticaNeue LT 57 Cn" w:cs="Arial"/>
      <w:b/>
      <w:bCs/>
      <w:iCs/>
      <w:color w:val="0066CC"/>
      <w:sz w:val="32"/>
      <w:szCs w:val="28"/>
    </w:rPr>
  </w:style>
  <w:style w:type="paragraph" w:styleId="Heading3">
    <w:name w:val="heading 3"/>
    <w:basedOn w:val="Normal"/>
    <w:next w:val="Normal"/>
    <w:qFormat/>
    <w:rsid w:val="00FD3C9C"/>
    <w:pPr>
      <w:keepNext/>
      <w:spacing w:before="300" w:after="300"/>
      <w:outlineLvl w:val="2"/>
    </w:pPr>
    <w:rPr>
      <w:rFonts w:ascii="HelveticaNeue LT 57 Cn" w:hAnsi="HelveticaNeue LT 57 Cn" w:cs="Arial"/>
      <w:b/>
      <w:bCs/>
      <w:sz w:val="28"/>
      <w:szCs w:val="26"/>
    </w:rPr>
  </w:style>
  <w:style w:type="paragraph" w:styleId="Heading4">
    <w:name w:val="heading 4"/>
    <w:basedOn w:val="Normal"/>
    <w:next w:val="Normal"/>
    <w:qFormat/>
    <w:rsid w:val="00FD3C9C"/>
    <w:pPr>
      <w:keepNext/>
      <w:spacing w:before="300" w:after="300"/>
      <w:outlineLvl w:val="3"/>
    </w:pPr>
    <w:rPr>
      <w:rFonts w:ascii="HelveticaNeue LT 57 Cn" w:hAnsi="HelveticaNeue LT 57 Cn"/>
      <w:b/>
      <w:bCs/>
      <w:sz w:val="26"/>
      <w:szCs w:val="28"/>
    </w:rPr>
  </w:style>
  <w:style w:type="paragraph" w:styleId="Heading5">
    <w:name w:val="heading 5"/>
    <w:basedOn w:val="Normal"/>
    <w:next w:val="Normal"/>
    <w:qFormat/>
    <w:rsid w:val="00FD3C9C"/>
    <w:pPr>
      <w:keepNext/>
      <w:spacing w:before="240" w:after="200"/>
      <w:outlineLvl w:val="4"/>
    </w:pPr>
    <w:rPr>
      <w:rFonts w:ascii="HelveticaNeue LT 57 Cn" w:hAnsi="HelveticaNeue LT 57 Cn"/>
      <w:bCs/>
      <w:i/>
      <w:iCs/>
      <w:color w:val="999999"/>
      <w:sz w:val="26"/>
      <w:szCs w:val="26"/>
    </w:rPr>
  </w:style>
  <w:style w:type="paragraph" w:styleId="Heading6">
    <w:name w:val="heading 6"/>
    <w:basedOn w:val="Normal"/>
    <w:next w:val="Normal"/>
    <w:qFormat/>
    <w:rsid w:val="00FD3C9C"/>
    <w:pPr>
      <w:keepNext/>
      <w:spacing w:before="240" w:after="200"/>
      <w:outlineLvl w:val="5"/>
    </w:pPr>
    <w:rPr>
      <w:rFonts w:ascii="HelveticaNeue LT 56 Italic" w:hAnsi="HelveticaNeue LT 56 Italic"/>
      <w:bCs/>
      <w:color w:val="808080"/>
      <w:szCs w:val="22"/>
    </w:rPr>
  </w:style>
  <w:style w:type="paragraph" w:styleId="Heading7">
    <w:name w:val="heading 7"/>
    <w:basedOn w:val="Normal"/>
    <w:next w:val="Normal"/>
    <w:qFormat/>
    <w:rsid w:val="00FD3C9C"/>
    <w:pPr>
      <w:spacing w:before="240" w:after="60"/>
      <w:outlineLvl w:val="6"/>
    </w:pPr>
  </w:style>
  <w:style w:type="paragraph" w:styleId="Heading8">
    <w:name w:val="heading 8"/>
    <w:basedOn w:val="Normal"/>
    <w:next w:val="Normal"/>
    <w:qFormat/>
    <w:rsid w:val="00FD3C9C"/>
    <w:pPr>
      <w:spacing w:before="240" w:after="60"/>
      <w:outlineLvl w:val="7"/>
    </w:pPr>
    <w:rPr>
      <w:i/>
      <w:iCs/>
    </w:rPr>
  </w:style>
  <w:style w:type="paragraph" w:styleId="Heading9">
    <w:name w:val="heading 9"/>
    <w:basedOn w:val="Normal"/>
    <w:next w:val="Normal"/>
    <w:qFormat/>
    <w:rsid w:val="00FD3C9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14558A"/>
    <w:rPr>
      <w:b/>
      <w:bCs/>
      <w:color w:val="FF00FF"/>
      <w:sz w:val="20"/>
      <w:szCs w:val="20"/>
    </w:rPr>
  </w:style>
  <w:style w:type="numbering" w:styleId="111111">
    <w:name w:val="Outline List 2"/>
    <w:basedOn w:val="NoList"/>
    <w:semiHidden/>
    <w:rsid w:val="00FD3C9C"/>
    <w:pPr>
      <w:numPr>
        <w:numId w:val="11"/>
      </w:numPr>
    </w:pPr>
  </w:style>
  <w:style w:type="numbering" w:styleId="1ai">
    <w:name w:val="Outline List 1"/>
    <w:basedOn w:val="NoList"/>
    <w:semiHidden/>
    <w:rsid w:val="00FD3C9C"/>
    <w:pPr>
      <w:numPr>
        <w:numId w:val="12"/>
      </w:numPr>
    </w:pPr>
  </w:style>
  <w:style w:type="numbering" w:styleId="ArticleSection">
    <w:name w:val="Outline List 3"/>
    <w:basedOn w:val="NoList"/>
    <w:semiHidden/>
    <w:rsid w:val="00FD3C9C"/>
    <w:pPr>
      <w:numPr>
        <w:numId w:val="13"/>
      </w:numPr>
    </w:pPr>
  </w:style>
  <w:style w:type="numbering" w:customStyle="1" w:styleId="TableList">
    <w:name w:val="Table List"/>
    <w:basedOn w:val="NormalList"/>
    <w:rsid w:val="007F7DF5"/>
    <w:pPr>
      <w:numPr>
        <w:numId w:val="42"/>
      </w:numPr>
    </w:pPr>
  </w:style>
  <w:style w:type="paragraph" w:styleId="BodyText2">
    <w:name w:val="Body Text 2"/>
    <w:basedOn w:val="Normal"/>
    <w:semiHidden/>
    <w:rsid w:val="00FD3C9C"/>
    <w:pPr>
      <w:spacing w:after="120" w:line="480" w:lineRule="auto"/>
    </w:pPr>
  </w:style>
  <w:style w:type="paragraph" w:styleId="BodyText3">
    <w:name w:val="Body Text 3"/>
    <w:basedOn w:val="Normal"/>
    <w:semiHidden/>
    <w:rsid w:val="00FD3C9C"/>
    <w:pPr>
      <w:spacing w:after="120"/>
    </w:pPr>
    <w:rPr>
      <w:sz w:val="16"/>
      <w:szCs w:val="16"/>
    </w:rPr>
  </w:style>
  <w:style w:type="paragraph" w:styleId="BodyText">
    <w:name w:val="Body Text"/>
    <w:basedOn w:val="Normal"/>
    <w:semiHidden/>
    <w:rsid w:val="00FD3C9C"/>
    <w:pPr>
      <w:spacing w:after="120"/>
    </w:pPr>
  </w:style>
  <w:style w:type="paragraph" w:styleId="BodyTextFirstIndent">
    <w:name w:val="Body Text First Indent"/>
    <w:basedOn w:val="Normal"/>
    <w:semiHidden/>
    <w:rsid w:val="00FD3C9C"/>
    <w:pPr>
      <w:ind w:firstLine="210"/>
    </w:pPr>
  </w:style>
  <w:style w:type="paragraph" w:styleId="BodyTextIndent">
    <w:name w:val="Body Text Indent"/>
    <w:basedOn w:val="Normal"/>
    <w:semiHidden/>
    <w:rsid w:val="00FD3C9C"/>
    <w:pPr>
      <w:spacing w:after="120"/>
      <w:ind w:left="360"/>
    </w:pPr>
  </w:style>
  <w:style w:type="paragraph" w:styleId="BodyTextFirstIndent2">
    <w:name w:val="Body Text First Indent 2"/>
    <w:basedOn w:val="BodyTextIndent"/>
    <w:semiHidden/>
    <w:rsid w:val="00FD3C9C"/>
    <w:pPr>
      <w:ind w:firstLine="210"/>
    </w:pPr>
  </w:style>
  <w:style w:type="paragraph" w:styleId="BodyTextIndent2">
    <w:name w:val="Body Text Indent 2"/>
    <w:basedOn w:val="Normal"/>
    <w:semiHidden/>
    <w:rsid w:val="00FD3C9C"/>
    <w:pPr>
      <w:spacing w:after="120" w:line="480" w:lineRule="auto"/>
      <w:ind w:left="360"/>
    </w:pPr>
  </w:style>
  <w:style w:type="paragraph" w:styleId="BodyTextIndent3">
    <w:name w:val="Body Text Indent 3"/>
    <w:basedOn w:val="Normal"/>
    <w:semiHidden/>
    <w:rsid w:val="00FD3C9C"/>
    <w:pPr>
      <w:spacing w:after="120"/>
      <w:ind w:left="360"/>
    </w:pPr>
    <w:rPr>
      <w:sz w:val="16"/>
      <w:szCs w:val="16"/>
    </w:rPr>
  </w:style>
  <w:style w:type="paragraph" w:styleId="Date">
    <w:name w:val="Date"/>
    <w:basedOn w:val="Normal"/>
    <w:next w:val="Normal"/>
    <w:semiHidden/>
    <w:rsid w:val="00FD3C9C"/>
  </w:style>
  <w:style w:type="paragraph" w:styleId="E-mailSignature">
    <w:name w:val="E-mail Signature"/>
    <w:basedOn w:val="Normal"/>
    <w:semiHidden/>
    <w:rsid w:val="00FD3C9C"/>
  </w:style>
  <w:style w:type="character" w:styleId="Emphasis">
    <w:name w:val="Emphasis"/>
    <w:basedOn w:val="DefaultParagraphFont"/>
    <w:qFormat/>
    <w:rsid w:val="00FD3C9C"/>
    <w:rPr>
      <w:i/>
      <w:iCs/>
    </w:rPr>
  </w:style>
  <w:style w:type="paragraph" w:styleId="EnvelopeAddress">
    <w:name w:val="envelope address"/>
    <w:basedOn w:val="Normal"/>
    <w:semiHidden/>
    <w:rsid w:val="00FD3C9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D3C9C"/>
    <w:rPr>
      <w:rFonts w:ascii="Arial" w:hAnsi="Arial" w:cs="Arial"/>
      <w:sz w:val="20"/>
      <w:szCs w:val="20"/>
    </w:rPr>
  </w:style>
  <w:style w:type="character" w:styleId="FollowedHyperlink">
    <w:name w:val="FollowedHyperlink"/>
    <w:basedOn w:val="DefaultParagraphFont"/>
    <w:semiHidden/>
    <w:rsid w:val="00FD3C9C"/>
    <w:rPr>
      <w:color w:val="800080"/>
      <w:u w:val="single"/>
    </w:rPr>
  </w:style>
  <w:style w:type="character" w:styleId="HTMLAcronym">
    <w:name w:val="HTML Acronym"/>
    <w:basedOn w:val="DefaultParagraphFont"/>
    <w:semiHidden/>
    <w:rsid w:val="00FD3C9C"/>
  </w:style>
  <w:style w:type="paragraph" w:styleId="HTMLAddress">
    <w:name w:val="HTML Address"/>
    <w:basedOn w:val="Normal"/>
    <w:semiHidden/>
    <w:rsid w:val="00FD3C9C"/>
    <w:rPr>
      <w:i/>
      <w:iCs/>
    </w:rPr>
  </w:style>
  <w:style w:type="character" w:styleId="HTMLCite">
    <w:name w:val="HTML Cite"/>
    <w:basedOn w:val="DefaultParagraphFont"/>
    <w:semiHidden/>
    <w:rsid w:val="00FD3C9C"/>
    <w:rPr>
      <w:i/>
      <w:iCs/>
    </w:rPr>
  </w:style>
  <w:style w:type="character" w:styleId="HTMLCode">
    <w:name w:val="HTML Code"/>
    <w:basedOn w:val="DefaultParagraphFont"/>
    <w:semiHidden/>
    <w:rsid w:val="00FD3C9C"/>
    <w:rPr>
      <w:rFonts w:ascii="Courier New" w:hAnsi="Courier New" w:cs="Courier New"/>
      <w:sz w:val="20"/>
      <w:szCs w:val="20"/>
    </w:rPr>
  </w:style>
  <w:style w:type="character" w:styleId="HTMLDefinition">
    <w:name w:val="HTML Definition"/>
    <w:basedOn w:val="DefaultParagraphFont"/>
    <w:semiHidden/>
    <w:rsid w:val="00FD3C9C"/>
    <w:rPr>
      <w:i/>
      <w:iCs/>
    </w:rPr>
  </w:style>
  <w:style w:type="character" w:styleId="HTMLKeyboard">
    <w:name w:val="HTML Keyboard"/>
    <w:basedOn w:val="DefaultParagraphFont"/>
    <w:semiHidden/>
    <w:rsid w:val="00FD3C9C"/>
    <w:rPr>
      <w:rFonts w:ascii="Courier New" w:hAnsi="Courier New" w:cs="Courier New"/>
      <w:sz w:val="20"/>
      <w:szCs w:val="20"/>
    </w:rPr>
  </w:style>
  <w:style w:type="paragraph" w:styleId="HTMLPreformatted">
    <w:name w:val="HTML Preformatted"/>
    <w:basedOn w:val="Normal"/>
    <w:semiHidden/>
    <w:rsid w:val="00FD3C9C"/>
    <w:rPr>
      <w:rFonts w:ascii="Courier New" w:hAnsi="Courier New" w:cs="Courier New"/>
      <w:sz w:val="20"/>
      <w:szCs w:val="20"/>
    </w:rPr>
  </w:style>
  <w:style w:type="character" w:styleId="HTMLSample">
    <w:name w:val="HTML Sample"/>
    <w:basedOn w:val="DefaultParagraphFont"/>
    <w:semiHidden/>
    <w:rsid w:val="00FD3C9C"/>
    <w:rPr>
      <w:rFonts w:ascii="Courier New" w:hAnsi="Courier New" w:cs="Courier New"/>
    </w:rPr>
  </w:style>
  <w:style w:type="character" w:styleId="HTMLTypewriter">
    <w:name w:val="HTML Typewriter"/>
    <w:basedOn w:val="DefaultParagraphFont"/>
    <w:semiHidden/>
    <w:rsid w:val="00FD3C9C"/>
    <w:rPr>
      <w:rFonts w:ascii="Courier New" w:hAnsi="Courier New" w:cs="Courier New"/>
      <w:sz w:val="20"/>
      <w:szCs w:val="20"/>
    </w:rPr>
  </w:style>
  <w:style w:type="character" w:styleId="HTMLVariable">
    <w:name w:val="HTML Variable"/>
    <w:basedOn w:val="DefaultParagraphFont"/>
    <w:semiHidden/>
    <w:rsid w:val="00FD3C9C"/>
    <w:rPr>
      <w:i/>
      <w:iCs/>
    </w:rPr>
  </w:style>
  <w:style w:type="paragraph" w:styleId="List2">
    <w:name w:val="List 2"/>
    <w:basedOn w:val="Normal"/>
    <w:semiHidden/>
    <w:rsid w:val="00FD3C9C"/>
    <w:pPr>
      <w:ind w:left="720" w:hanging="360"/>
    </w:pPr>
  </w:style>
  <w:style w:type="paragraph" w:styleId="List3">
    <w:name w:val="List 3"/>
    <w:basedOn w:val="Normal"/>
    <w:semiHidden/>
    <w:rsid w:val="00FD3C9C"/>
    <w:pPr>
      <w:ind w:left="1080" w:hanging="360"/>
    </w:pPr>
  </w:style>
  <w:style w:type="paragraph" w:styleId="List4">
    <w:name w:val="List 4"/>
    <w:basedOn w:val="Normal"/>
    <w:semiHidden/>
    <w:rsid w:val="00FD3C9C"/>
    <w:pPr>
      <w:ind w:left="1440" w:hanging="360"/>
    </w:pPr>
  </w:style>
  <w:style w:type="paragraph" w:styleId="List5">
    <w:name w:val="List 5"/>
    <w:basedOn w:val="Normal"/>
    <w:semiHidden/>
    <w:rsid w:val="00FD3C9C"/>
    <w:pPr>
      <w:ind w:left="1800" w:hanging="360"/>
    </w:pPr>
  </w:style>
  <w:style w:type="paragraph" w:styleId="ListBullet2">
    <w:name w:val="List Bullet 2"/>
    <w:basedOn w:val="Normal"/>
    <w:semiHidden/>
    <w:rsid w:val="00FD3C9C"/>
    <w:pPr>
      <w:numPr>
        <w:numId w:val="2"/>
      </w:numPr>
    </w:pPr>
  </w:style>
  <w:style w:type="paragraph" w:styleId="ListBullet3">
    <w:name w:val="List Bullet 3"/>
    <w:basedOn w:val="Normal"/>
    <w:semiHidden/>
    <w:rsid w:val="00FD3C9C"/>
    <w:pPr>
      <w:numPr>
        <w:numId w:val="3"/>
      </w:numPr>
    </w:pPr>
  </w:style>
  <w:style w:type="paragraph" w:styleId="ListBullet4">
    <w:name w:val="List Bullet 4"/>
    <w:basedOn w:val="Normal"/>
    <w:semiHidden/>
    <w:rsid w:val="00FD3C9C"/>
    <w:pPr>
      <w:numPr>
        <w:numId w:val="4"/>
      </w:numPr>
    </w:pPr>
  </w:style>
  <w:style w:type="paragraph" w:styleId="ListBullet5">
    <w:name w:val="List Bullet 5"/>
    <w:basedOn w:val="Normal"/>
    <w:semiHidden/>
    <w:rsid w:val="00FD3C9C"/>
    <w:pPr>
      <w:numPr>
        <w:numId w:val="5"/>
      </w:numPr>
    </w:pPr>
  </w:style>
  <w:style w:type="paragraph" w:styleId="ListContinue">
    <w:name w:val="List Continue"/>
    <w:basedOn w:val="Normal"/>
    <w:semiHidden/>
    <w:rsid w:val="00FD3C9C"/>
    <w:pPr>
      <w:spacing w:after="120"/>
      <w:ind w:left="360"/>
    </w:pPr>
  </w:style>
  <w:style w:type="paragraph" w:styleId="ListContinue2">
    <w:name w:val="List Continue 2"/>
    <w:basedOn w:val="Normal"/>
    <w:semiHidden/>
    <w:rsid w:val="00FD3C9C"/>
    <w:pPr>
      <w:spacing w:after="120"/>
      <w:ind w:left="720"/>
    </w:pPr>
  </w:style>
  <w:style w:type="paragraph" w:styleId="ListContinue3">
    <w:name w:val="List Continue 3"/>
    <w:basedOn w:val="Normal"/>
    <w:semiHidden/>
    <w:rsid w:val="00FD3C9C"/>
    <w:pPr>
      <w:spacing w:after="120"/>
      <w:ind w:left="1080"/>
    </w:pPr>
  </w:style>
  <w:style w:type="paragraph" w:styleId="ListContinue4">
    <w:name w:val="List Continue 4"/>
    <w:basedOn w:val="Normal"/>
    <w:semiHidden/>
    <w:rsid w:val="00FD3C9C"/>
    <w:pPr>
      <w:spacing w:after="120"/>
      <w:ind w:left="1440"/>
    </w:pPr>
  </w:style>
  <w:style w:type="paragraph" w:styleId="ListContinue5">
    <w:name w:val="List Continue 5"/>
    <w:basedOn w:val="Normal"/>
    <w:semiHidden/>
    <w:rsid w:val="00FD3C9C"/>
    <w:pPr>
      <w:spacing w:after="120"/>
      <w:ind w:left="1800"/>
    </w:pPr>
  </w:style>
  <w:style w:type="paragraph" w:styleId="ListNumber">
    <w:name w:val="List Number"/>
    <w:basedOn w:val="Normal"/>
    <w:semiHidden/>
    <w:rsid w:val="00FD3C9C"/>
    <w:pPr>
      <w:numPr>
        <w:numId w:val="6"/>
      </w:numPr>
    </w:pPr>
  </w:style>
  <w:style w:type="paragraph" w:styleId="ListNumber2">
    <w:name w:val="List Number 2"/>
    <w:basedOn w:val="Normal"/>
    <w:semiHidden/>
    <w:rsid w:val="00FD3C9C"/>
    <w:pPr>
      <w:numPr>
        <w:numId w:val="7"/>
      </w:numPr>
    </w:pPr>
  </w:style>
  <w:style w:type="paragraph" w:styleId="ListNumber3">
    <w:name w:val="List Number 3"/>
    <w:basedOn w:val="Normal"/>
    <w:semiHidden/>
    <w:rsid w:val="00FD3C9C"/>
    <w:pPr>
      <w:numPr>
        <w:numId w:val="8"/>
      </w:numPr>
    </w:pPr>
  </w:style>
  <w:style w:type="paragraph" w:styleId="ListNumber4">
    <w:name w:val="List Number 4"/>
    <w:basedOn w:val="Normal"/>
    <w:semiHidden/>
    <w:rsid w:val="00FD3C9C"/>
    <w:pPr>
      <w:numPr>
        <w:numId w:val="9"/>
      </w:numPr>
    </w:pPr>
  </w:style>
  <w:style w:type="paragraph" w:styleId="ListNumber5">
    <w:name w:val="List Number 5"/>
    <w:basedOn w:val="Normal"/>
    <w:semiHidden/>
    <w:rsid w:val="00FD3C9C"/>
    <w:pPr>
      <w:numPr>
        <w:numId w:val="10"/>
      </w:numPr>
    </w:pPr>
  </w:style>
  <w:style w:type="paragraph" w:styleId="MessageHeader">
    <w:name w:val="Message Header"/>
    <w:basedOn w:val="Normal"/>
    <w:semiHidden/>
    <w:rsid w:val="00FD3C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FD3C9C"/>
  </w:style>
  <w:style w:type="paragraph" w:styleId="NormalIndent">
    <w:name w:val="Normal Indent"/>
    <w:basedOn w:val="Normal"/>
    <w:semiHidden/>
    <w:rsid w:val="00FD3C9C"/>
    <w:pPr>
      <w:ind w:left="720"/>
    </w:pPr>
  </w:style>
  <w:style w:type="paragraph" w:styleId="NoteHeading">
    <w:name w:val="Note Heading"/>
    <w:basedOn w:val="Normal"/>
    <w:next w:val="Normal"/>
    <w:semiHidden/>
    <w:rsid w:val="00FD3C9C"/>
  </w:style>
  <w:style w:type="paragraph" w:styleId="PlainText">
    <w:name w:val="Plain Text"/>
    <w:basedOn w:val="Normal"/>
    <w:semiHidden/>
    <w:rsid w:val="00FD3C9C"/>
    <w:rPr>
      <w:rFonts w:ascii="Courier New" w:hAnsi="Courier New" w:cs="Courier New"/>
      <w:sz w:val="20"/>
      <w:szCs w:val="20"/>
    </w:rPr>
  </w:style>
  <w:style w:type="paragraph" w:styleId="Salutation">
    <w:name w:val="Salutation"/>
    <w:basedOn w:val="Normal"/>
    <w:next w:val="Normal"/>
    <w:semiHidden/>
    <w:rsid w:val="00FD3C9C"/>
  </w:style>
  <w:style w:type="paragraph" w:styleId="Signature">
    <w:name w:val="Signature"/>
    <w:basedOn w:val="Normal"/>
    <w:semiHidden/>
    <w:rsid w:val="00FD3C9C"/>
    <w:pPr>
      <w:ind w:left="4320"/>
    </w:pPr>
  </w:style>
  <w:style w:type="character" w:styleId="Strong">
    <w:name w:val="Strong"/>
    <w:basedOn w:val="DefaultParagraphFont"/>
    <w:qFormat/>
    <w:rsid w:val="00FD3C9C"/>
    <w:rPr>
      <w:b/>
      <w:bCs/>
    </w:rPr>
  </w:style>
  <w:style w:type="paragraph" w:styleId="Subtitle">
    <w:name w:val="Subtitle"/>
    <w:basedOn w:val="Normal"/>
    <w:qFormat/>
    <w:rsid w:val="00FD3C9C"/>
    <w:pPr>
      <w:spacing w:after="60"/>
      <w:jc w:val="center"/>
      <w:outlineLvl w:val="1"/>
    </w:pPr>
    <w:rPr>
      <w:rFonts w:ascii="Arial" w:hAnsi="Arial" w:cs="Arial"/>
    </w:rPr>
  </w:style>
  <w:style w:type="table" w:styleId="Table3Deffects1">
    <w:name w:val="Table 3D effects 1"/>
    <w:basedOn w:val="TableNormal"/>
    <w:semiHidden/>
    <w:rsid w:val="00FD3C9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3C9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3C9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3C9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3C9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3C9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3C9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3C9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3C9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3C9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3C9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3C9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3C9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3C9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3C9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3C9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3C9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3C9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3C9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3C9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3C9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3C9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3C9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3C9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3C9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3C9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3C9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3C9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3C9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D3C9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3C9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3C9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D3C9C"/>
    <w:pPr>
      <w:spacing w:before="240" w:after="60"/>
      <w:jc w:val="center"/>
      <w:outlineLvl w:val="0"/>
    </w:pPr>
    <w:rPr>
      <w:rFonts w:ascii="Arial" w:hAnsi="Arial" w:cs="Arial"/>
      <w:b/>
      <w:bCs/>
      <w:kern w:val="28"/>
      <w:sz w:val="32"/>
      <w:szCs w:val="32"/>
    </w:rPr>
  </w:style>
  <w:style w:type="paragraph" w:styleId="Footer">
    <w:name w:val="footer"/>
    <w:basedOn w:val="Normal"/>
    <w:link w:val="FooterChar"/>
    <w:uiPriority w:val="99"/>
    <w:rsid w:val="00FD3C9C"/>
    <w:pPr>
      <w:pBdr>
        <w:top w:val="single" w:sz="8" w:space="1" w:color="0066CC"/>
      </w:pBdr>
      <w:tabs>
        <w:tab w:val="center" w:pos="4320"/>
        <w:tab w:val="right" w:pos="8640"/>
      </w:tabs>
      <w:jc w:val="center"/>
    </w:pPr>
    <w:rPr>
      <w:rFonts w:ascii="HelveticaNeue LT 57 Cn" w:hAnsi="HelveticaNeue LT 57 Cn"/>
      <w:color w:val="0066CC"/>
      <w:sz w:val="20"/>
    </w:rPr>
  </w:style>
  <w:style w:type="paragraph" w:styleId="Header">
    <w:name w:val="header"/>
    <w:basedOn w:val="Normal"/>
    <w:rsid w:val="00FD3C9C"/>
    <w:pPr>
      <w:tabs>
        <w:tab w:val="center" w:pos="4320"/>
        <w:tab w:val="right" w:pos="8640"/>
      </w:tabs>
    </w:pPr>
    <w:rPr>
      <w:rFonts w:ascii="HelveticaNeue LT 57 Cn" w:hAnsi="HelveticaNeue LT 57 Cn"/>
      <w:color w:val="808080"/>
    </w:rPr>
  </w:style>
  <w:style w:type="paragraph" w:styleId="BlockText">
    <w:name w:val="Block Text"/>
    <w:basedOn w:val="Normal"/>
    <w:semiHidden/>
    <w:rsid w:val="00FD3C9C"/>
    <w:pPr>
      <w:spacing w:after="120"/>
      <w:ind w:left="1440" w:right="1440"/>
    </w:pPr>
  </w:style>
  <w:style w:type="paragraph" w:styleId="Closing">
    <w:name w:val="Closing"/>
    <w:basedOn w:val="Normal"/>
    <w:semiHidden/>
    <w:rsid w:val="00FD3C9C"/>
    <w:pPr>
      <w:ind w:left="4320"/>
    </w:pPr>
  </w:style>
  <w:style w:type="character" w:styleId="LineNumber">
    <w:name w:val="line number"/>
    <w:basedOn w:val="DefaultParagraphFont"/>
    <w:semiHidden/>
    <w:rsid w:val="00FD3C9C"/>
  </w:style>
  <w:style w:type="paragraph" w:customStyle="1" w:styleId="MarginTitleLeft">
    <w:name w:val="Margin Title Left"/>
    <w:basedOn w:val="MarginTitleRight"/>
    <w:next w:val="MarginTextLeft"/>
    <w:rsid w:val="00C61715"/>
    <w:pPr>
      <w:framePr w:wrap="around" w:x="361"/>
    </w:pPr>
  </w:style>
  <w:style w:type="paragraph" w:styleId="TOC2">
    <w:name w:val="toc 2"/>
    <w:basedOn w:val="Normal"/>
    <w:next w:val="Normal"/>
    <w:autoRedefine/>
    <w:uiPriority w:val="39"/>
    <w:rsid w:val="009B58E8"/>
    <w:pPr>
      <w:spacing w:before="120"/>
      <w:ind w:left="288"/>
    </w:pPr>
    <w:rPr>
      <w:rFonts w:ascii="Times New Roman" w:hAnsi="Times New Roman"/>
      <w:b/>
      <w:bCs/>
      <w:sz w:val="20"/>
    </w:rPr>
  </w:style>
  <w:style w:type="paragraph" w:customStyle="1" w:styleId="LearningObjectives">
    <w:name w:val="Learning Objectives"/>
    <w:basedOn w:val="Normal"/>
    <w:link w:val="LearningObjectivesChar"/>
    <w:rsid w:val="00FD3C9C"/>
    <w:pPr>
      <w:spacing w:before="300" w:after="300"/>
    </w:pPr>
    <w:rPr>
      <w:rFonts w:ascii="HelveticaNeue LT 57 Cn" w:hAnsi="HelveticaNeue LT 57 Cn"/>
      <w:b/>
      <w:smallCaps/>
      <w:sz w:val="32"/>
    </w:rPr>
  </w:style>
  <w:style w:type="paragraph" w:customStyle="1" w:styleId="MarginTextRight">
    <w:name w:val="Margin Text Right"/>
    <w:basedOn w:val="MarginTitleRight"/>
    <w:rsid w:val="00C61715"/>
    <w:pPr>
      <w:framePr w:wrap="around" w:x="10794"/>
      <w:shd w:val="clear" w:color="auto" w:fill="auto"/>
    </w:pPr>
    <w:rPr>
      <w:b w:val="0"/>
      <w:color w:val="auto"/>
      <w:sz w:val="20"/>
    </w:rPr>
  </w:style>
  <w:style w:type="paragraph" w:customStyle="1" w:styleId="MarginTitleRight">
    <w:name w:val="Margin Title Right"/>
    <w:basedOn w:val="Normal"/>
    <w:next w:val="MarginTextRight"/>
    <w:rsid w:val="00C61715"/>
    <w:pPr>
      <w:framePr w:w="1224" w:h="360" w:hSpace="187" w:wrap="around" w:vAnchor="text" w:hAnchor="page" w:x="10945" w:y="1"/>
      <w:shd w:val="clear" w:color="auto" w:fill="FF9900"/>
      <w:tabs>
        <w:tab w:val="left" w:pos="360"/>
        <w:tab w:val="left" w:pos="720"/>
      </w:tabs>
      <w:jc w:val="center"/>
    </w:pPr>
    <w:rPr>
      <w:rFonts w:ascii="Helvetica 55 Roman" w:hAnsi="Helvetica 55 Roman"/>
      <w:b/>
      <w:bCs/>
      <w:color w:val="FFFFFF"/>
    </w:rPr>
  </w:style>
  <w:style w:type="paragraph" w:customStyle="1" w:styleId="MarginTextLeft">
    <w:name w:val="Margin Text Left"/>
    <w:basedOn w:val="MarginTitleLeft"/>
    <w:rsid w:val="00C61715"/>
    <w:pPr>
      <w:framePr w:wrap="around"/>
      <w:shd w:val="clear" w:color="auto" w:fill="auto"/>
    </w:pPr>
    <w:rPr>
      <w:b w:val="0"/>
      <w:color w:val="auto"/>
      <w:sz w:val="20"/>
    </w:rPr>
  </w:style>
  <w:style w:type="paragraph" w:styleId="BalloonText">
    <w:name w:val="Balloon Text"/>
    <w:basedOn w:val="Normal"/>
    <w:link w:val="BalloonTextChar"/>
    <w:uiPriority w:val="99"/>
    <w:semiHidden/>
    <w:rsid w:val="00FD3C9C"/>
    <w:rPr>
      <w:rFonts w:ascii="Tahoma" w:hAnsi="Tahoma" w:cs="Tahoma"/>
      <w:sz w:val="16"/>
      <w:szCs w:val="16"/>
    </w:rPr>
  </w:style>
  <w:style w:type="paragraph" w:styleId="ListBullet">
    <w:name w:val="List Bullet"/>
    <w:basedOn w:val="Normal"/>
    <w:semiHidden/>
    <w:rsid w:val="00FD3C9C"/>
    <w:pPr>
      <w:numPr>
        <w:numId w:val="1"/>
      </w:numPr>
    </w:pPr>
  </w:style>
  <w:style w:type="character" w:styleId="PageNumber">
    <w:name w:val="page number"/>
    <w:basedOn w:val="DefaultParagraphFont"/>
    <w:rsid w:val="00FD3C9C"/>
    <w:rPr>
      <w:rFonts w:ascii="HelveticaNeue LT 55 Roman" w:hAnsi="HelveticaNeue LT 55 Roman"/>
      <w:color w:val="0066CC"/>
      <w:sz w:val="20"/>
    </w:rPr>
  </w:style>
  <w:style w:type="paragraph" w:customStyle="1" w:styleId="Heading1NoTOC">
    <w:name w:val="Heading 1 No TOC"/>
    <w:basedOn w:val="Heading1"/>
    <w:next w:val="Normal"/>
    <w:rsid w:val="00144AF2"/>
    <w:pPr>
      <w:keepNext w:val="0"/>
      <w:pageBreakBefore w:val="0"/>
      <w:spacing w:after="360"/>
    </w:pPr>
  </w:style>
  <w:style w:type="paragraph" w:customStyle="1" w:styleId="BoxText">
    <w:name w:val="Box Text"/>
    <w:basedOn w:val="Normal"/>
    <w:link w:val="BoxTextCharChar"/>
    <w:rsid w:val="00657D0A"/>
    <w:pPr>
      <w:keepLines/>
      <w:widowControl w:val="0"/>
      <w:pBdr>
        <w:top w:val="single" w:sz="6" w:space="1" w:color="808080" w:shadow="1"/>
        <w:left w:val="single" w:sz="6" w:space="4" w:color="808080" w:shadow="1"/>
        <w:bottom w:val="single" w:sz="6" w:space="1" w:color="808080" w:shadow="1"/>
        <w:right w:val="single" w:sz="6" w:space="4" w:color="808080" w:shadow="1"/>
      </w:pBdr>
      <w:shd w:val="clear" w:color="auto" w:fill="E6E6E6"/>
      <w:spacing w:before="60" w:after="60" w:line="280" w:lineRule="exact"/>
    </w:pPr>
    <w:rPr>
      <w:sz w:val="20"/>
    </w:rPr>
  </w:style>
  <w:style w:type="paragraph" w:customStyle="1" w:styleId="BoxTitle">
    <w:name w:val="Box Title"/>
    <w:basedOn w:val="BoxText"/>
    <w:next w:val="BoxText"/>
    <w:link w:val="BoxTitleCharChar"/>
    <w:rsid w:val="00FD3C9C"/>
    <w:pPr>
      <w:keepNext/>
    </w:pPr>
    <w:rPr>
      <w:rFonts w:ascii="HelveticaNeue LT 75 Bold" w:hAnsi="HelveticaNeue LT 75 Bold"/>
      <w:b/>
      <w:color w:val="0066CC"/>
    </w:rPr>
  </w:style>
  <w:style w:type="paragraph" w:customStyle="1" w:styleId="TableText">
    <w:name w:val="Table Text"/>
    <w:basedOn w:val="Normal"/>
    <w:rsid w:val="00144AF2"/>
    <w:rPr>
      <w:rFonts w:ascii="HelveticaNeue LT 57 Cn" w:hAnsi="HelveticaNeue LT 57 Cn"/>
      <w:sz w:val="20"/>
    </w:rPr>
  </w:style>
  <w:style w:type="character" w:styleId="Hyperlink">
    <w:name w:val="Hyperlink"/>
    <w:basedOn w:val="DefaultParagraphFont"/>
    <w:uiPriority w:val="99"/>
    <w:rsid w:val="00FD3C9C"/>
    <w:rPr>
      <w:color w:val="0000FF"/>
      <w:u w:val="single"/>
    </w:rPr>
  </w:style>
  <w:style w:type="paragraph" w:styleId="List">
    <w:name w:val="List"/>
    <w:basedOn w:val="Normal"/>
    <w:semiHidden/>
    <w:rsid w:val="00FD3C9C"/>
    <w:pPr>
      <w:ind w:left="360" w:hanging="360"/>
    </w:pPr>
  </w:style>
  <w:style w:type="paragraph" w:customStyle="1" w:styleId="TOCTitle">
    <w:name w:val="TOC Title"/>
    <w:basedOn w:val="LearningObjectives"/>
    <w:link w:val="TOCTitleChar"/>
    <w:rsid w:val="00FD3C9C"/>
    <w:pPr>
      <w:spacing w:after="30"/>
    </w:pPr>
  </w:style>
  <w:style w:type="paragraph" w:customStyle="1" w:styleId="TableLegend">
    <w:name w:val="Table Legend"/>
    <w:basedOn w:val="TableText"/>
    <w:rsid w:val="00144AF2"/>
    <w:rPr>
      <w:sz w:val="16"/>
    </w:rPr>
  </w:style>
  <w:style w:type="numbering" w:customStyle="1" w:styleId="NormalList">
    <w:name w:val="Normal List"/>
    <w:basedOn w:val="NoList"/>
    <w:rsid w:val="007F7DF5"/>
    <w:pPr>
      <w:numPr>
        <w:numId w:val="38"/>
      </w:numPr>
    </w:pPr>
  </w:style>
  <w:style w:type="character" w:customStyle="1" w:styleId="BoxTextCharChar">
    <w:name w:val="Box Text Char Char"/>
    <w:basedOn w:val="DefaultParagraphFont"/>
    <w:link w:val="BoxText"/>
    <w:rsid w:val="00657D0A"/>
    <w:rPr>
      <w:rFonts w:ascii="HelveticaNeue LT 55 Roman" w:hAnsi="HelveticaNeue LT 55 Roman"/>
      <w:szCs w:val="24"/>
      <w:lang w:val="en-US" w:eastAsia="en-US" w:bidi="ar-SA"/>
    </w:rPr>
  </w:style>
  <w:style w:type="character" w:customStyle="1" w:styleId="BoxTitleCharChar">
    <w:name w:val="Box Title Char Char"/>
    <w:basedOn w:val="BoxTextCharChar"/>
    <w:link w:val="BoxTitle"/>
    <w:rsid w:val="00FD3C9C"/>
    <w:rPr>
      <w:rFonts w:ascii="HelveticaNeue LT 75 Bold" w:hAnsi="HelveticaNeue LT 75 Bold"/>
      <w:b/>
      <w:color w:val="0066CC"/>
      <w:szCs w:val="24"/>
      <w:lang w:val="en-US" w:eastAsia="en-US" w:bidi="ar-SA"/>
    </w:rPr>
  </w:style>
  <w:style w:type="character" w:customStyle="1" w:styleId="LearningObjectivesChar">
    <w:name w:val="Learning Objectives Char"/>
    <w:basedOn w:val="DefaultParagraphFont"/>
    <w:link w:val="LearningObjectives"/>
    <w:rsid w:val="00FD3C9C"/>
    <w:rPr>
      <w:rFonts w:ascii="HelveticaNeue LT 57 Cn" w:hAnsi="HelveticaNeue LT 57 Cn"/>
      <w:b/>
      <w:smallCaps/>
      <w:sz w:val="32"/>
      <w:szCs w:val="24"/>
      <w:lang w:val="en-US" w:eastAsia="en-US" w:bidi="ar-SA"/>
    </w:rPr>
  </w:style>
  <w:style w:type="character" w:customStyle="1" w:styleId="TOCTitleChar">
    <w:name w:val="TOC Title Char"/>
    <w:basedOn w:val="LearningObjectivesChar"/>
    <w:link w:val="TOCTitle"/>
    <w:rsid w:val="00FD3C9C"/>
    <w:rPr>
      <w:rFonts w:ascii="HelveticaNeue LT 57 Cn" w:hAnsi="HelveticaNeue LT 57 Cn"/>
      <w:b/>
      <w:smallCaps/>
      <w:sz w:val="32"/>
      <w:szCs w:val="24"/>
      <w:lang w:val="en-US" w:eastAsia="en-US" w:bidi="ar-SA"/>
    </w:rPr>
  </w:style>
  <w:style w:type="character" w:customStyle="1" w:styleId="apple-tab-span">
    <w:name w:val="apple-tab-span"/>
    <w:basedOn w:val="DefaultParagraphFont"/>
    <w:rsid w:val="00596D1E"/>
  </w:style>
  <w:style w:type="character" w:customStyle="1" w:styleId="BalloonTextChar">
    <w:name w:val="Balloon Text Char"/>
    <w:basedOn w:val="DefaultParagraphFont"/>
    <w:link w:val="BalloonText"/>
    <w:uiPriority w:val="99"/>
    <w:semiHidden/>
    <w:rsid w:val="00596D1E"/>
    <w:rPr>
      <w:rFonts w:ascii="Tahoma" w:hAnsi="Tahoma" w:cs="Tahoma"/>
      <w:sz w:val="16"/>
      <w:szCs w:val="16"/>
    </w:rPr>
  </w:style>
  <w:style w:type="character" w:styleId="CommentReference">
    <w:name w:val="annotation reference"/>
    <w:basedOn w:val="DefaultParagraphFont"/>
    <w:uiPriority w:val="99"/>
    <w:unhideWhenUsed/>
    <w:rsid w:val="00596D1E"/>
    <w:rPr>
      <w:sz w:val="16"/>
      <w:szCs w:val="16"/>
    </w:rPr>
  </w:style>
  <w:style w:type="paragraph" w:styleId="CommentText">
    <w:name w:val="annotation text"/>
    <w:basedOn w:val="Normal"/>
    <w:link w:val="CommentTextChar"/>
    <w:uiPriority w:val="99"/>
    <w:unhideWhenUsed/>
    <w:rsid w:val="00596D1E"/>
    <w:pPr>
      <w:spacing w:before="0" w:after="200"/>
    </w:pPr>
    <w:rPr>
      <w:rFonts w:asciiTheme="minorHAnsi" w:eastAsiaTheme="minorEastAsia" w:hAnsiTheme="minorHAnsi" w:cstheme="minorBidi"/>
      <w:sz w:val="20"/>
      <w:szCs w:val="20"/>
      <w:lang w:val="en-CA"/>
    </w:rPr>
  </w:style>
  <w:style w:type="character" w:customStyle="1" w:styleId="CommentTextChar">
    <w:name w:val="Comment Text Char"/>
    <w:basedOn w:val="DefaultParagraphFont"/>
    <w:link w:val="CommentText"/>
    <w:uiPriority w:val="99"/>
    <w:rsid w:val="00596D1E"/>
    <w:rPr>
      <w:rFonts w:asciiTheme="minorHAnsi" w:eastAsiaTheme="minorEastAsia" w:hAnsiTheme="minorHAnsi" w:cstheme="minorBidi"/>
      <w:lang w:val="en-CA"/>
    </w:rPr>
  </w:style>
  <w:style w:type="table" w:customStyle="1" w:styleId="Table">
    <w:name w:val="Table"/>
    <w:basedOn w:val="TableNormal"/>
    <w:rsid w:val="007F7DF5"/>
    <w:pPr>
      <w:spacing w:before="120" w:after="120"/>
    </w:pPr>
    <w:rPr>
      <w:rFonts w:ascii="HelveticaNeue LT 55 Roman" w:hAnsi="HelveticaNeue LT 55 Roman"/>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rPr>
      <w:tblPr/>
      <w:tcPr>
        <w:shd w:val="clear" w:color="auto" w:fill="CCCCCC"/>
      </w:tcPr>
    </w:tblStylePr>
    <w:tblStylePr w:type="lastRow">
      <w:pPr>
        <w:wordWrap/>
        <w:spacing w:beforeLines="0" w:beforeAutospacing="0" w:afterLines="0" w:afterAutospacing="0"/>
      </w:pPr>
      <w:rPr>
        <w:sz w:val="16"/>
      </w:rPr>
      <w:tblPr/>
      <w:tcPr>
        <w:tcBorders>
          <w:top w:val="single" w:sz="4" w:space="0" w:color="auto"/>
          <w:left w:val="nil"/>
          <w:bottom w:val="nil"/>
          <w:right w:val="nil"/>
          <w:insideH w:val="nil"/>
          <w:insideV w:val="nil"/>
          <w:tl2br w:val="nil"/>
          <w:tr2bl w:val="nil"/>
        </w:tcBorders>
        <w:shd w:val="clear" w:color="auto" w:fill="auto"/>
      </w:tcPr>
    </w:tblStylePr>
    <w:tblStylePr w:type="band1Horz">
      <w:tblPr/>
      <w:tcPr>
        <w:shd w:val="clear" w:color="auto" w:fill="E0E0E0"/>
      </w:tcPr>
    </w:tblStylePr>
  </w:style>
  <w:style w:type="paragraph" w:customStyle="1" w:styleId="References">
    <w:name w:val="References"/>
    <w:rsid w:val="007F6510"/>
    <w:pPr>
      <w:tabs>
        <w:tab w:val="center" w:pos="144"/>
      </w:tabs>
      <w:spacing w:before="200"/>
      <w:ind w:left="360" w:hanging="360"/>
    </w:pPr>
    <w:rPr>
      <w:rFonts w:ascii="Helvetica Condensed" w:hAnsi="Helvetica Condensed"/>
      <w:sz w:val="24"/>
      <w:szCs w:val="24"/>
    </w:rPr>
  </w:style>
  <w:style w:type="paragraph" w:styleId="CommentSubject">
    <w:name w:val="annotation subject"/>
    <w:basedOn w:val="CommentText"/>
    <w:next w:val="CommentText"/>
    <w:link w:val="CommentSubjectChar"/>
    <w:uiPriority w:val="99"/>
    <w:unhideWhenUsed/>
    <w:rsid w:val="00596D1E"/>
    <w:rPr>
      <w:b/>
      <w:bCs/>
    </w:rPr>
  </w:style>
  <w:style w:type="character" w:customStyle="1" w:styleId="CommentSubjectChar">
    <w:name w:val="Comment Subject Char"/>
    <w:basedOn w:val="CommentTextChar"/>
    <w:link w:val="CommentSubject"/>
    <w:uiPriority w:val="99"/>
    <w:rsid w:val="00596D1E"/>
    <w:rPr>
      <w:rFonts w:asciiTheme="minorHAnsi" w:eastAsiaTheme="minorEastAsia" w:hAnsiTheme="minorHAnsi" w:cstheme="minorBidi"/>
      <w:b/>
      <w:bCs/>
      <w:lang w:val="en-CA"/>
    </w:rPr>
  </w:style>
  <w:style w:type="character" w:customStyle="1" w:styleId="acl-entry-item-name">
    <w:name w:val="acl-entry-item-name"/>
    <w:basedOn w:val="DefaultParagraphFont"/>
    <w:rsid w:val="00596D1E"/>
  </w:style>
  <w:style w:type="numbering" w:customStyle="1" w:styleId="MCQList">
    <w:name w:val="MCQ List"/>
    <w:basedOn w:val="NoList"/>
    <w:rsid w:val="007F7DF5"/>
    <w:pPr>
      <w:numPr>
        <w:numId w:val="36"/>
      </w:numPr>
    </w:pPr>
  </w:style>
  <w:style w:type="character" w:customStyle="1" w:styleId="charItalic">
    <w:name w:val="char Italic"/>
    <w:rsid w:val="00FD3C9C"/>
    <w:rPr>
      <w:i/>
    </w:rPr>
  </w:style>
  <w:style w:type="character" w:customStyle="1" w:styleId="charBold">
    <w:name w:val="char Bold"/>
    <w:rsid w:val="00FD3C9C"/>
    <w:rPr>
      <w:b/>
    </w:rPr>
  </w:style>
  <w:style w:type="paragraph" w:customStyle="1" w:styleId="Normal1">
    <w:name w:val="Normal1"/>
    <w:rsid w:val="00596D1E"/>
    <w:pPr>
      <w:spacing w:line="276" w:lineRule="auto"/>
    </w:pPr>
    <w:rPr>
      <w:rFonts w:ascii="Arial" w:eastAsia="Arial" w:hAnsi="Arial" w:cs="Arial"/>
      <w:color w:val="000000"/>
      <w:sz w:val="22"/>
      <w:szCs w:val="22"/>
      <w:lang w:val="en-CA" w:eastAsia="zh-CN"/>
    </w:rPr>
  </w:style>
  <w:style w:type="table" w:styleId="LightShading-Accent5">
    <w:name w:val="Light Shading Accent 5"/>
    <w:basedOn w:val="TableNormal"/>
    <w:uiPriority w:val="60"/>
    <w:rsid w:val="00596D1E"/>
    <w:rPr>
      <w:rFonts w:asciiTheme="minorHAnsi" w:eastAsiaTheme="minorEastAsia" w:hAnsiTheme="minorHAnsi" w:cstheme="minorBidi"/>
      <w:color w:val="31849B" w:themeColor="accent5" w:themeShade="BF"/>
      <w:sz w:val="22"/>
      <w:szCs w:val="22"/>
      <w:lang w:val="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harGlossaryItem">
    <w:name w:val="Char GlossaryItem"/>
    <w:rsid w:val="002A4AA0"/>
    <w:rPr>
      <w:color w:val="3366FF"/>
    </w:rPr>
  </w:style>
  <w:style w:type="character" w:customStyle="1" w:styleId="Heading1Char">
    <w:name w:val="Heading 1 Char"/>
    <w:basedOn w:val="DefaultParagraphFont"/>
    <w:link w:val="Heading1"/>
    <w:uiPriority w:val="9"/>
    <w:rsid w:val="00596D1E"/>
    <w:rPr>
      <w:rFonts w:ascii="HelveticaNeue LT 45 Lt" w:hAnsi="HelveticaNeue LT 45 Lt" w:cs="Arial"/>
      <w:bCs/>
      <w:color w:val="0066CC"/>
      <w:kern w:val="32"/>
      <w:sz w:val="56"/>
      <w:szCs w:val="32"/>
    </w:rPr>
  </w:style>
  <w:style w:type="paragraph" w:styleId="FootnoteText">
    <w:name w:val="footnote text"/>
    <w:basedOn w:val="Normal"/>
    <w:semiHidden/>
    <w:rsid w:val="008F43CD"/>
    <w:rPr>
      <w:rFonts w:ascii="Arial" w:hAnsi="Arial"/>
      <w:sz w:val="20"/>
      <w:szCs w:val="20"/>
    </w:rPr>
  </w:style>
  <w:style w:type="paragraph" w:styleId="TOC1">
    <w:name w:val="toc 1"/>
    <w:basedOn w:val="Normal"/>
    <w:next w:val="Normal"/>
    <w:autoRedefine/>
    <w:uiPriority w:val="39"/>
    <w:rsid w:val="009B58E8"/>
    <w:pPr>
      <w:spacing w:before="360" w:after="120"/>
    </w:pPr>
    <w:rPr>
      <w:rFonts w:ascii="Arial" w:hAnsi="Arial" w:cs="Arial"/>
      <w:b/>
      <w:bCs/>
      <w:szCs w:val="22"/>
    </w:rPr>
  </w:style>
  <w:style w:type="paragraph" w:styleId="TOC3">
    <w:name w:val="toc 3"/>
    <w:basedOn w:val="Normal"/>
    <w:next w:val="Normal"/>
    <w:autoRedefine/>
    <w:uiPriority w:val="39"/>
    <w:rsid w:val="009B58E8"/>
    <w:pPr>
      <w:ind w:left="576"/>
    </w:pPr>
    <w:rPr>
      <w:sz w:val="20"/>
    </w:rPr>
  </w:style>
  <w:style w:type="character" w:customStyle="1" w:styleId="FooterChar">
    <w:name w:val="Footer Char"/>
    <w:basedOn w:val="DefaultParagraphFont"/>
    <w:link w:val="Footer"/>
    <w:uiPriority w:val="99"/>
    <w:rsid w:val="007D5A6C"/>
    <w:rPr>
      <w:rFonts w:ascii="HelveticaNeue LT 57 Cn" w:hAnsi="HelveticaNeue LT 57 Cn"/>
      <w:color w:val="0066CC"/>
      <w:szCs w:val="24"/>
    </w:rPr>
  </w:style>
  <w:style w:type="paragraph" w:styleId="ListParagraph">
    <w:name w:val="List Paragraph"/>
    <w:basedOn w:val="Normal"/>
    <w:uiPriority w:val="34"/>
    <w:qFormat/>
    <w:rsid w:val="00C1044A"/>
    <w:pPr>
      <w:ind w:left="720"/>
      <w:contextualSpacing/>
    </w:pPr>
  </w:style>
  <w:style w:type="character" w:styleId="SubtleEmphasis">
    <w:name w:val="Subtle Emphasis"/>
    <w:basedOn w:val="DefaultParagraphFont"/>
    <w:uiPriority w:val="19"/>
    <w:qFormat/>
    <w:rsid w:val="004E2EB0"/>
    <w:rPr>
      <w:i/>
      <w:iCs/>
      <w:color w:val="808080" w:themeColor="text1" w:themeTint="7F"/>
    </w:rPr>
  </w:style>
  <w:style w:type="paragraph" w:customStyle="1" w:styleId="Footnotes">
    <w:name w:val="Footnotes"/>
    <w:basedOn w:val="FootnoteText"/>
    <w:rsid w:val="00922FF3"/>
  </w:style>
  <w:style w:type="table" w:styleId="LightList-Accent5">
    <w:name w:val="Light List Accent 5"/>
    <w:basedOn w:val="TableNormal"/>
    <w:uiPriority w:val="61"/>
    <w:rsid w:val="000561F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EF572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E61E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61E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5786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786B"/>
    <w:rPr>
      <w:rFonts w:asciiTheme="minorHAnsi" w:eastAsiaTheme="minorEastAsia" w:hAnsiTheme="minorHAnsi" w:cstheme="minorBidi"/>
      <w:sz w:val="22"/>
      <w:szCs w:val="22"/>
    </w:rPr>
  </w:style>
  <w:style w:type="character" w:styleId="FootnoteReference">
    <w:name w:val="footnote reference"/>
    <w:basedOn w:val="DefaultParagraphFont"/>
    <w:rsid w:val="00F97D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769"/>
    <w:pPr>
      <w:spacing w:before="140" w:after="140"/>
    </w:pPr>
    <w:rPr>
      <w:rFonts w:ascii="HelveticaNeue LT 55 Roman" w:hAnsi="HelveticaNeue LT 55 Roman"/>
      <w:sz w:val="22"/>
      <w:szCs w:val="24"/>
    </w:rPr>
  </w:style>
  <w:style w:type="paragraph" w:styleId="Heading1">
    <w:name w:val="heading 1"/>
    <w:basedOn w:val="Normal"/>
    <w:next w:val="Normal"/>
    <w:link w:val="Heading1Char"/>
    <w:uiPriority w:val="9"/>
    <w:qFormat/>
    <w:rsid w:val="00FD3C9C"/>
    <w:pPr>
      <w:keepNext/>
      <w:pageBreakBefore/>
      <w:spacing w:after="720"/>
      <w:outlineLvl w:val="0"/>
    </w:pPr>
    <w:rPr>
      <w:rFonts w:ascii="HelveticaNeue LT 45 Lt" w:hAnsi="HelveticaNeue LT 45 Lt" w:cs="Arial"/>
      <w:bCs/>
      <w:color w:val="0066CC"/>
      <w:kern w:val="32"/>
      <w:sz w:val="56"/>
      <w:szCs w:val="32"/>
    </w:rPr>
  </w:style>
  <w:style w:type="paragraph" w:styleId="Heading2">
    <w:name w:val="heading 2"/>
    <w:basedOn w:val="Normal"/>
    <w:next w:val="Normal"/>
    <w:qFormat/>
    <w:rsid w:val="00FD3C9C"/>
    <w:pPr>
      <w:keepNext/>
      <w:spacing w:before="300" w:after="300"/>
      <w:outlineLvl w:val="1"/>
    </w:pPr>
    <w:rPr>
      <w:rFonts w:ascii="HelveticaNeue LT 57 Cn" w:hAnsi="HelveticaNeue LT 57 Cn" w:cs="Arial"/>
      <w:b/>
      <w:bCs/>
      <w:iCs/>
      <w:color w:val="0066CC"/>
      <w:sz w:val="32"/>
      <w:szCs w:val="28"/>
    </w:rPr>
  </w:style>
  <w:style w:type="paragraph" w:styleId="Heading3">
    <w:name w:val="heading 3"/>
    <w:basedOn w:val="Normal"/>
    <w:next w:val="Normal"/>
    <w:qFormat/>
    <w:rsid w:val="00FD3C9C"/>
    <w:pPr>
      <w:keepNext/>
      <w:spacing w:before="300" w:after="300"/>
      <w:outlineLvl w:val="2"/>
    </w:pPr>
    <w:rPr>
      <w:rFonts w:ascii="HelveticaNeue LT 57 Cn" w:hAnsi="HelveticaNeue LT 57 Cn" w:cs="Arial"/>
      <w:b/>
      <w:bCs/>
      <w:sz w:val="28"/>
      <w:szCs w:val="26"/>
    </w:rPr>
  </w:style>
  <w:style w:type="paragraph" w:styleId="Heading4">
    <w:name w:val="heading 4"/>
    <w:basedOn w:val="Normal"/>
    <w:next w:val="Normal"/>
    <w:qFormat/>
    <w:rsid w:val="00FD3C9C"/>
    <w:pPr>
      <w:keepNext/>
      <w:spacing w:before="300" w:after="300"/>
      <w:outlineLvl w:val="3"/>
    </w:pPr>
    <w:rPr>
      <w:rFonts w:ascii="HelveticaNeue LT 57 Cn" w:hAnsi="HelveticaNeue LT 57 Cn"/>
      <w:b/>
      <w:bCs/>
      <w:sz w:val="26"/>
      <w:szCs w:val="28"/>
    </w:rPr>
  </w:style>
  <w:style w:type="paragraph" w:styleId="Heading5">
    <w:name w:val="heading 5"/>
    <w:basedOn w:val="Normal"/>
    <w:next w:val="Normal"/>
    <w:qFormat/>
    <w:rsid w:val="00FD3C9C"/>
    <w:pPr>
      <w:keepNext/>
      <w:spacing w:before="240" w:after="200"/>
      <w:outlineLvl w:val="4"/>
    </w:pPr>
    <w:rPr>
      <w:rFonts w:ascii="HelveticaNeue LT 57 Cn" w:hAnsi="HelveticaNeue LT 57 Cn"/>
      <w:bCs/>
      <w:i/>
      <w:iCs/>
      <w:color w:val="999999"/>
      <w:sz w:val="26"/>
      <w:szCs w:val="26"/>
    </w:rPr>
  </w:style>
  <w:style w:type="paragraph" w:styleId="Heading6">
    <w:name w:val="heading 6"/>
    <w:basedOn w:val="Normal"/>
    <w:next w:val="Normal"/>
    <w:qFormat/>
    <w:rsid w:val="00FD3C9C"/>
    <w:pPr>
      <w:keepNext/>
      <w:spacing w:before="240" w:after="200"/>
      <w:outlineLvl w:val="5"/>
    </w:pPr>
    <w:rPr>
      <w:rFonts w:ascii="HelveticaNeue LT 56 Italic" w:hAnsi="HelveticaNeue LT 56 Italic"/>
      <w:bCs/>
      <w:color w:val="808080"/>
      <w:szCs w:val="22"/>
    </w:rPr>
  </w:style>
  <w:style w:type="paragraph" w:styleId="Heading7">
    <w:name w:val="heading 7"/>
    <w:basedOn w:val="Normal"/>
    <w:next w:val="Normal"/>
    <w:qFormat/>
    <w:rsid w:val="00FD3C9C"/>
    <w:pPr>
      <w:spacing w:before="240" w:after="60"/>
      <w:outlineLvl w:val="6"/>
    </w:pPr>
  </w:style>
  <w:style w:type="paragraph" w:styleId="Heading8">
    <w:name w:val="heading 8"/>
    <w:basedOn w:val="Normal"/>
    <w:next w:val="Normal"/>
    <w:qFormat/>
    <w:rsid w:val="00FD3C9C"/>
    <w:pPr>
      <w:spacing w:before="240" w:after="60"/>
      <w:outlineLvl w:val="7"/>
    </w:pPr>
    <w:rPr>
      <w:i/>
      <w:iCs/>
    </w:rPr>
  </w:style>
  <w:style w:type="paragraph" w:styleId="Heading9">
    <w:name w:val="heading 9"/>
    <w:basedOn w:val="Normal"/>
    <w:next w:val="Normal"/>
    <w:qFormat/>
    <w:rsid w:val="00FD3C9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14558A"/>
    <w:rPr>
      <w:b/>
      <w:bCs/>
      <w:color w:val="FF00FF"/>
      <w:sz w:val="20"/>
      <w:szCs w:val="20"/>
    </w:rPr>
  </w:style>
  <w:style w:type="numbering" w:styleId="111111">
    <w:name w:val="Outline List 2"/>
    <w:basedOn w:val="NoList"/>
    <w:semiHidden/>
    <w:rsid w:val="00FD3C9C"/>
    <w:pPr>
      <w:numPr>
        <w:numId w:val="11"/>
      </w:numPr>
    </w:pPr>
  </w:style>
  <w:style w:type="numbering" w:styleId="1ai">
    <w:name w:val="Outline List 1"/>
    <w:basedOn w:val="NoList"/>
    <w:semiHidden/>
    <w:rsid w:val="00FD3C9C"/>
    <w:pPr>
      <w:numPr>
        <w:numId w:val="12"/>
      </w:numPr>
    </w:pPr>
  </w:style>
  <w:style w:type="numbering" w:styleId="ArticleSection">
    <w:name w:val="Outline List 3"/>
    <w:basedOn w:val="NoList"/>
    <w:semiHidden/>
    <w:rsid w:val="00FD3C9C"/>
    <w:pPr>
      <w:numPr>
        <w:numId w:val="13"/>
      </w:numPr>
    </w:pPr>
  </w:style>
  <w:style w:type="numbering" w:customStyle="1" w:styleId="TableList">
    <w:name w:val="Table List"/>
    <w:basedOn w:val="NormalList"/>
    <w:rsid w:val="007F7DF5"/>
    <w:pPr>
      <w:numPr>
        <w:numId w:val="42"/>
      </w:numPr>
    </w:pPr>
  </w:style>
  <w:style w:type="paragraph" w:styleId="BodyText2">
    <w:name w:val="Body Text 2"/>
    <w:basedOn w:val="Normal"/>
    <w:semiHidden/>
    <w:rsid w:val="00FD3C9C"/>
    <w:pPr>
      <w:spacing w:after="120" w:line="480" w:lineRule="auto"/>
    </w:pPr>
  </w:style>
  <w:style w:type="paragraph" w:styleId="BodyText3">
    <w:name w:val="Body Text 3"/>
    <w:basedOn w:val="Normal"/>
    <w:semiHidden/>
    <w:rsid w:val="00FD3C9C"/>
    <w:pPr>
      <w:spacing w:after="120"/>
    </w:pPr>
    <w:rPr>
      <w:sz w:val="16"/>
      <w:szCs w:val="16"/>
    </w:rPr>
  </w:style>
  <w:style w:type="paragraph" w:styleId="BodyText">
    <w:name w:val="Body Text"/>
    <w:basedOn w:val="Normal"/>
    <w:semiHidden/>
    <w:rsid w:val="00FD3C9C"/>
    <w:pPr>
      <w:spacing w:after="120"/>
    </w:pPr>
  </w:style>
  <w:style w:type="paragraph" w:styleId="BodyTextFirstIndent">
    <w:name w:val="Body Text First Indent"/>
    <w:basedOn w:val="Normal"/>
    <w:semiHidden/>
    <w:rsid w:val="00FD3C9C"/>
    <w:pPr>
      <w:ind w:firstLine="210"/>
    </w:pPr>
  </w:style>
  <w:style w:type="paragraph" w:styleId="BodyTextIndent">
    <w:name w:val="Body Text Indent"/>
    <w:basedOn w:val="Normal"/>
    <w:semiHidden/>
    <w:rsid w:val="00FD3C9C"/>
    <w:pPr>
      <w:spacing w:after="120"/>
      <w:ind w:left="360"/>
    </w:pPr>
  </w:style>
  <w:style w:type="paragraph" w:styleId="BodyTextFirstIndent2">
    <w:name w:val="Body Text First Indent 2"/>
    <w:basedOn w:val="BodyTextIndent"/>
    <w:semiHidden/>
    <w:rsid w:val="00FD3C9C"/>
    <w:pPr>
      <w:ind w:firstLine="210"/>
    </w:pPr>
  </w:style>
  <w:style w:type="paragraph" w:styleId="BodyTextIndent2">
    <w:name w:val="Body Text Indent 2"/>
    <w:basedOn w:val="Normal"/>
    <w:semiHidden/>
    <w:rsid w:val="00FD3C9C"/>
    <w:pPr>
      <w:spacing w:after="120" w:line="480" w:lineRule="auto"/>
      <w:ind w:left="360"/>
    </w:pPr>
  </w:style>
  <w:style w:type="paragraph" w:styleId="BodyTextIndent3">
    <w:name w:val="Body Text Indent 3"/>
    <w:basedOn w:val="Normal"/>
    <w:semiHidden/>
    <w:rsid w:val="00FD3C9C"/>
    <w:pPr>
      <w:spacing w:after="120"/>
      <w:ind w:left="360"/>
    </w:pPr>
    <w:rPr>
      <w:sz w:val="16"/>
      <w:szCs w:val="16"/>
    </w:rPr>
  </w:style>
  <w:style w:type="paragraph" w:styleId="Date">
    <w:name w:val="Date"/>
    <w:basedOn w:val="Normal"/>
    <w:next w:val="Normal"/>
    <w:semiHidden/>
    <w:rsid w:val="00FD3C9C"/>
  </w:style>
  <w:style w:type="paragraph" w:styleId="E-mailSignature">
    <w:name w:val="E-mail Signature"/>
    <w:basedOn w:val="Normal"/>
    <w:semiHidden/>
    <w:rsid w:val="00FD3C9C"/>
  </w:style>
  <w:style w:type="character" w:styleId="Emphasis">
    <w:name w:val="Emphasis"/>
    <w:basedOn w:val="DefaultParagraphFont"/>
    <w:qFormat/>
    <w:rsid w:val="00FD3C9C"/>
    <w:rPr>
      <w:i/>
      <w:iCs/>
    </w:rPr>
  </w:style>
  <w:style w:type="paragraph" w:styleId="EnvelopeAddress">
    <w:name w:val="envelope address"/>
    <w:basedOn w:val="Normal"/>
    <w:semiHidden/>
    <w:rsid w:val="00FD3C9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D3C9C"/>
    <w:rPr>
      <w:rFonts w:ascii="Arial" w:hAnsi="Arial" w:cs="Arial"/>
      <w:sz w:val="20"/>
      <w:szCs w:val="20"/>
    </w:rPr>
  </w:style>
  <w:style w:type="character" w:styleId="FollowedHyperlink">
    <w:name w:val="FollowedHyperlink"/>
    <w:basedOn w:val="DefaultParagraphFont"/>
    <w:semiHidden/>
    <w:rsid w:val="00FD3C9C"/>
    <w:rPr>
      <w:color w:val="800080"/>
      <w:u w:val="single"/>
    </w:rPr>
  </w:style>
  <w:style w:type="character" w:styleId="HTMLAcronym">
    <w:name w:val="HTML Acronym"/>
    <w:basedOn w:val="DefaultParagraphFont"/>
    <w:semiHidden/>
    <w:rsid w:val="00FD3C9C"/>
  </w:style>
  <w:style w:type="paragraph" w:styleId="HTMLAddress">
    <w:name w:val="HTML Address"/>
    <w:basedOn w:val="Normal"/>
    <w:semiHidden/>
    <w:rsid w:val="00FD3C9C"/>
    <w:rPr>
      <w:i/>
      <w:iCs/>
    </w:rPr>
  </w:style>
  <w:style w:type="character" w:styleId="HTMLCite">
    <w:name w:val="HTML Cite"/>
    <w:basedOn w:val="DefaultParagraphFont"/>
    <w:semiHidden/>
    <w:rsid w:val="00FD3C9C"/>
    <w:rPr>
      <w:i/>
      <w:iCs/>
    </w:rPr>
  </w:style>
  <w:style w:type="character" w:styleId="HTMLCode">
    <w:name w:val="HTML Code"/>
    <w:basedOn w:val="DefaultParagraphFont"/>
    <w:semiHidden/>
    <w:rsid w:val="00FD3C9C"/>
    <w:rPr>
      <w:rFonts w:ascii="Courier New" w:hAnsi="Courier New" w:cs="Courier New"/>
      <w:sz w:val="20"/>
      <w:szCs w:val="20"/>
    </w:rPr>
  </w:style>
  <w:style w:type="character" w:styleId="HTMLDefinition">
    <w:name w:val="HTML Definition"/>
    <w:basedOn w:val="DefaultParagraphFont"/>
    <w:semiHidden/>
    <w:rsid w:val="00FD3C9C"/>
    <w:rPr>
      <w:i/>
      <w:iCs/>
    </w:rPr>
  </w:style>
  <w:style w:type="character" w:styleId="HTMLKeyboard">
    <w:name w:val="HTML Keyboard"/>
    <w:basedOn w:val="DefaultParagraphFont"/>
    <w:semiHidden/>
    <w:rsid w:val="00FD3C9C"/>
    <w:rPr>
      <w:rFonts w:ascii="Courier New" w:hAnsi="Courier New" w:cs="Courier New"/>
      <w:sz w:val="20"/>
      <w:szCs w:val="20"/>
    </w:rPr>
  </w:style>
  <w:style w:type="paragraph" w:styleId="HTMLPreformatted">
    <w:name w:val="HTML Preformatted"/>
    <w:basedOn w:val="Normal"/>
    <w:semiHidden/>
    <w:rsid w:val="00FD3C9C"/>
    <w:rPr>
      <w:rFonts w:ascii="Courier New" w:hAnsi="Courier New" w:cs="Courier New"/>
      <w:sz w:val="20"/>
      <w:szCs w:val="20"/>
    </w:rPr>
  </w:style>
  <w:style w:type="character" w:styleId="HTMLSample">
    <w:name w:val="HTML Sample"/>
    <w:basedOn w:val="DefaultParagraphFont"/>
    <w:semiHidden/>
    <w:rsid w:val="00FD3C9C"/>
    <w:rPr>
      <w:rFonts w:ascii="Courier New" w:hAnsi="Courier New" w:cs="Courier New"/>
    </w:rPr>
  </w:style>
  <w:style w:type="character" w:styleId="HTMLTypewriter">
    <w:name w:val="HTML Typewriter"/>
    <w:basedOn w:val="DefaultParagraphFont"/>
    <w:semiHidden/>
    <w:rsid w:val="00FD3C9C"/>
    <w:rPr>
      <w:rFonts w:ascii="Courier New" w:hAnsi="Courier New" w:cs="Courier New"/>
      <w:sz w:val="20"/>
      <w:szCs w:val="20"/>
    </w:rPr>
  </w:style>
  <w:style w:type="character" w:styleId="HTMLVariable">
    <w:name w:val="HTML Variable"/>
    <w:basedOn w:val="DefaultParagraphFont"/>
    <w:semiHidden/>
    <w:rsid w:val="00FD3C9C"/>
    <w:rPr>
      <w:i/>
      <w:iCs/>
    </w:rPr>
  </w:style>
  <w:style w:type="paragraph" w:styleId="List2">
    <w:name w:val="List 2"/>
    <w:basedOn w:val="Normal"/>
    <w:semiHidden/>
    <w:rsid w:val="00FD3C9C"/>
    <w:pPr>
      <w:ind w:left="720" w:hanging="360"/>
    </w:pPr>
  </w:style>
  <w:style w:type="paragraph" w:styleId="List3">
    <w:name w:val="List 3"/>
    <w:basedOn w:val="Normal"/>
    <w:semiHidden/>
    <w:rsid w:val="00FD3C9C"/>
    <w:pPr>
      <w:ind w:left="1080" w:hanging="360"/>
    </w:pPr>
  </w:style>
  <w:style w:type="paragraph" w:styleId="List4">
    <w:name w:val="List 4"/>
    <w:basedOn w:val="Normal"/>
    <w:semiHidden/>
    <w:rsid w:val="00FD3C9C"/>
    <w:pPr>
      <w:ind w:left="1440" w:hanging="360"/>
    </w:pPr>
  </w:style>
  <w:style w:type="paragraph" w:styleId="List5">
    <w:name w:val="List 5"/>
    <w:basedOn w:val="Normal"/>
    <w:semiHidden/>
    <w:rsid w:val="00FD3C9C"/>
    <w:pPr>
      <w:ind w:left="1800" w:hanging="360"/>
    </w:pPr>
  </w:style>
  <w:style w:type="paragraph" w:styleId="ListBullet2">
    <w:name w:val="List Bullet 2"/>
    <w:basedOn w:val="Normal"/>
    <w:semiHidden/>
    <w:rsid w:val="00FD3C9C"/>
    <w:pPr>
      <w:numPr>
        <w:numId w:val="2"/>
      </w:numPr>
    </w:pPr>
  </w:style>
  <w:style w:type="paragraph" w:styleId="ListBullet3">
    <w:name w:val="List Bullet 3"/>
    <w:basedOn w:val="Normal"/>
    <w:semiHidden/>
    <w:rsid w:val="00FD3C9C"/>
    <w:pPr>
      <w:numPr>
        <w:numId w:val="3"/>
      </w:numPr>
    </w:pPr>
  </w:style>
  <w:style w:type="paragraph" w:styleId="ListBullet4">
    <w:name w:val="List Bullet 4"/>
    <w:basedOn w:val="Normal"/>
    <w:semiHidden/>
    <w:rsid w:val="00FD3C9C"/>
    <w:pPr>
      <w:numPr>
        <w:numId w:val="4"/>
      </w:numPr>
    </w:pPr>
  </w:style>
  <w:style w:type="paragraph" w:styleId="ListBullet5">
    <w:name w:val="List Bullet 5"/>
    <w:basedOn w:val="Normal"/>
    <w:semiHidden/>
    <w:rsid w:val="00FD3C9C"/>
    <w:pPr>
      <w:numPr>
        <w:numId w:val="5"/>
      </w:numPr>
    </w:pPr>
  </w:style>
  <w:style w:type="paragraph" w:styleId="ListContinue">
    <w:name w:val="List Continue"/>
    <w:basedOn w:val="Normal"/>
    <w:semiHidden/>
    <w:rsid w:val="00FD3C9C"/>
    <w:pPr>
      <w:spacing w:after="120"/>
      <w:ind w:left="360"/>
    </w:pPr>
  </w:style>
  <w:style w:type="paragraph" w:styleId="ListContinue2">
    <w:name w:val="List Continue 2"/>
    <w:basedOn w:val="Normal"/>
    <w:semiHidden/>
    <w:rsid w:val="00FD3C9C"/>
    <w:pPr>
      <w:spacing w:after="120"/>
      <w:ind w:left="720"/>
    </w:pPr>
  </w:style>
  <w:style w:type="paragraph" w:styleId="ListContinue3">
    <w:name w:val="List Continue 3"/>
    <w:basedOn w:val="Normal"/>
    <w:semiHidden/>
    <w:rsid w:val="00FD3C9C"/>
    <w:pPr>
      <w:spacing w:after="120"/>
      <w:ind w:left="1080"/>
    </w:pPr>
  </w:style>
  <w:style w:type="paragraph" w:styleId="ListContinue4">
    <w:name w:val="List Continue 4"/>
    <w:basedOn w:val="Normal"/>
    <w:semiHidden/>
    <w:rsid w:val="00FD3C9C"/>
    <w:pPr>
      <w:spacing w:after="120"/>
      <w:ind w:left="1440"/>
    </w:pPr>
  </w:style>
  <w:style w:type="paragraph" w:styleId="ListContinue5">
    <w:name w:val="List Continue 5"/>
    <w:basedOn w:val="Normal"/>
    <w:semiHidden/>
    <w:rsid w:val="00FD3C9C"/>
    <w:pPr>
      <w:spacing w:after="120"/>
      <w:ind w:left="1800"/>
    </w:pPr>
  </w:style>
  <w:style w:type="paragraph" w:styleId="ListNumber">
    <w:name w:val="List Number"/>
    <w:basedOn w:val="Normal"/>
    <w:semiHidden/>
    <w:rsid w:val="00FD3C9C"/>
    <w:pPr>
      <w:numPr>
        <w:numId w:val="6"/>
      </w:numPr>
    </w:pPr>
  </w:style>
  <w:style w:type="paragraph" w:styleId="ListNumber2">
    <w:name w:val="List Number 2"/>
    <w:basedOn w:val="Normal"/>
    <w:semiHidden/>
    <w:rsid w:val="00FD3C9C"/>
    <w:pPr>
      <w:numPr>
        <w:numId w:val="7"/>
      </w:numPr>
    </w:pPr>
  </w:style>
  <w:style w:type="paragraph" w:styleId="ListNumber3">
    <w:name w:val="List Number 3"/>
    <w:basedOn w:val="Normal"/>
    <w:semiHidden/>
    <w:rsid w:val="00FD3C9C"/>
    <w:pPr>
      <w:numPr>
        <w:numId w:val="8"/>
      </w:numPr>
    </w:pPr>
  </w:style>
  <w:style w:type="paragraph" w:styleId="ListNumber4">
    <w:name w:val="List Number 4"/>
    <w:basedOn w:val="Normal"/>
    <w:semiHidden/>
    <w:rsid w:val="00FD3C9C"/>
    <w:pPr>
      <w:numPr>
        <w:numId w:val="9"/>
      </w:numPr>
    </w:pPr>
  </w:style>
  <w:style w:type="paragraph" w:styleId="ListNumber5">
    <w:name w:val="List Number 5"/>
    <w:basedOn w:val="Normal"/>
    <w:semiHidden/>
    <w:rsid w:val="00FD3C9C"/>
    <w:pPr>
      <w:numPr>
        <w:numId w:val="10"/>
      </w:numPr>
    </w:pPr>
  </w:style>
  <w:style w:type="paragraph" w:styleId="MessageHeader">
    <w:name w:val="Message Header"/>
    <w:basedOn w:val="Normal"/>
    <w:semiHidden/>
    <w:rsid w:val="00FD3C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FD3C9C"/>
  </w:style>
  <w:style w:type="paragraph" w:styleId="NormalIndent">
    <w:name w:val="Normal Indent"/>
    <w:basedOn w:val="Normal"/>
    <w:semiHidden/>
    <w:rsid w:val="00FD3C9C"/>
    <w:pPr>
      <w:ind w:left="720"/>
    </w:pPr>
  </w:style>
  <w:style w:type="paragraph" w:styleId="NoteHeading">
    <w:name w:val="Note Heading"/>
    <w:basedOn w:val="Normal"/>
    <w:next w:val="Normal"/>
    <w:semiHidden/>
    <w:rsid w:val="00FD3C9C"/>
  </w:style>
  <w:style w:type="paragraph" w:styleId="PlainText">
    <w:name w:val="Plain Text"/>
    <w:basedOn w:val="Normal"/>
    <w:semiHidden/>
    <w:rsid w:val="00FD3C9C"/>
    <w:rPr>
      <w:rFonts w:ascii="Courier New" w:hAnsi="Courier New" w:cs="Courier New"/>
      <w:sz w:val="20"/>
      <w:szCs w:val="20"/>
    </w:rPr>
  </w:style>
  <w:style w:type="paragraph" w:styleId="Salutation">
    <w:name w:val="Salutation"/>
    <w:basedOn w:val="Normal"/>
    <w:next w:val="Normal"/>
    <w:semiHidden/>
    <w:rsid w:val="00FD3C9C"/>
  </w:style>
  <w:style w:type="paragraph" w:styleId="Signature">
    <w:name w:val="Signature"/>
    <w:basedOn w:val="Normal"/>
    <w:semiHidden/>
    <w:rsid w:val="00FD3C9C"/>
    <w:pPr>
      <w:ind w:left="4320"/>
    </w:pPr>
  </w:style>
  <w:style w:type="character" w:styleId="Strong">
    <w:name w:val="Strong"/>
    <w:basedOn w:val="DefaultParagraphFont"/>
    <w:qFormat/>
    <w:rsid w:val="00FD3C9C"/>
    <w:rPr>
      <w:b/>
      <w:bCs/>
    </w:rPr>
  </w:style>
  <w:style w:type="paragraph" w:styleId="Subtitle">
    <w:name w:val="Subtitle"/>
    <w:basedOn w:val="Normal"/>
    <w:qFormat/>
    <w:rsid w:val="00FD3C9C"/>
    <w:pPr>
      <w:spacing w:after="60"/>
      <w:jc w:val="center"/>
      <w:outlineLvl w:val="1"/>
    </w:pPr>
    <w:rPr>
      <w:rFonts w:ascii="Arial" w:hAnsi="Arial" w:cs="Arial"/>
    </w:rPr>
  </w:style>
  <w:style w:type="table" w:styleId="Table3Deffects1">
    <w:name w:val="Table 3D effects 1"/>
    <w:basedOn w:val="TableNormal"/>
    <w:semiHidden/>
    <w:rsid w:val="00FD3C9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3C9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3C9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3C9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3C9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3C9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3C9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3C9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3C9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3C9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3C9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3C9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3C9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3C9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3C9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3C9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3C9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3C9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3C9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3C9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3C9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3C9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3C9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3C9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3C9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3C9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3C9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3C9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3C9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D3C9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3C9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3C9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D3C9C"/>
    <w:pPr>
      <w:spacing w:before="240" w:after="60"/>
      <w:jc w:val="center"/>
      <w:outlineLvl w:val="0"/>
    </w:pPr>
    <w:rPr>
      <w:rFonts w:ascii="Arial" w:hAnsi="Arial" w:cs="Arial"/>
      <w:b/>
      <w:bCs/>
      <w:kern w:val="28"/>
      <w:sz w:val="32"/>
      <w:szCs w:val="32"/>
    </w:rPr>
  </w:style>
  <w:style w:type="paragraph" w:styleId="Footer">
    <w:name w:val="footer"/>
    <w:basedOn w:val="Normal"/>
    <w:link w:val="FooterChar"/>
    <w:uiPriority w:val="99"/>
    <w:rsid w:val="00FD3C9C"/>
    <w:pPr>
      <w:pBdr>
        <w:top w:val="single" w:sz="8" w:space="1" w:color="0066CC"/>
      </w:pBdr>
      <w:tabs>
        <w:tab w:val="center" w:pos="4320"/>
        <w:tab w:val="right" w:pos="8640"/>
      </w:tabs>
      <w:jc w:val="center"/>
    </w:pPr>
    <w:rPr>
      <w:rFonts w:ascii="HelveticaNeue LT 57 Cn" w:hAnsi="HelveticaNeue LT 57 Cn"/>
      <w:color w:val="0066CC"/>
      <w:sz w:val="20"/>
    </w:rPr>
  </w:style>
  <w:style w:type="paragraph" w:styleId="Header">
    <w:name w:val="header"/>
    <w:basedOn w:val="Normal"/>
    <w:rsid w:val="00FD3C9C"/>
    <w:pPr>
      <w:tabs>
        <w:tab w:val="center" w:pos="4320"/>
        <w:tab w:val="right" w:pos="8640"/>
      </w:tabs>
    </w:pPr>
    <w:rPr>
      <w:rFonts w:ascii="HelveticaNeue LT 57 Cn" w:hAnsi="HelveticaNeue LT 57 Cn"/>
      <w:color w:val="808080"/>
    </w:rPr>
  </w:style>
  <w:style w:type="paragraph" w:styleId="BlockText">
    <w:name w:val="Block Text"/>
    <w:basedOn w:val="Normal"/>
    <w:semiHidden/>
    <w:rsid w:val="00FD3C9C"/>
    <w:pPr>
      <w:spacing w:after="120"/>
      <w:ind w:left="1440" w:right="1440"/>
    </w:pPr>
  </w:style>
  <w:style w:type="paragraph" w:styleId="Closing">
    <w:name w:val="Closing"/>
    <w:basedOn w:val="Normal"/>
    <w:semiHidden/>
    <w:rsid w:val="00FD3C9C"/>
    <w:pPr>
      <w:ind w:left="4320"/>
    </w:pPr>
  </w:style>
  <w:style w:type="character" w:styleId="LineNumber">
    <w:name w:val="line number"/>
    <w:basedOn w:val="DefaultParagraphFont"/>
    <w:semiHidden/>
    <w:rsid w:val="00FD3C9C"/>
  </w:style>
  <w:style w:type="paragraph" w:customStyle="1" w:styleId="MarginTitleLeft">
    <w:name w:val="Margin Title Left"/>
    <w:basedOn w:val="MarginTitleRight"/>
    <w:next w:val="MarginTextLeft"/>
    <w:rsid w:val="00C61715"/>
    <w:pPr>
      <w:framePr w:wrap="around" w:x="361"/>
    </w:pPr>
  </w:style>
  <w:style w:type="paragraph" w:styleId="TOC2">
    <w:name w:val="toc 2"/>
    <w:basedOn w:val="Normal"/>
    <w:next w:val="Normal"/>
    <w:autoRedefine/>
    <w:uiPriority w:val="39"/>
    <w:rsid w:val="009B58E8"/>
    <w:pPr>
      <w:spacing w:before="120"/>
      <w:ind w:left="288"/>
    </w:pPr>
    <w:rPr>
      <w:rFonts w:ascii="Times New Roman" w:hAnsi="Times New Roman"/>
      <w:b/>
      <w:bCs/>
      <w:sz w:val="20"/>
    </w:rPr>
  </w:style>
  <w:style w:type="paragraph" w:customStyle="1" w:styleId="LearningObjectives">
    <w:name w:val="Learning Objectives"/>
    <w:basedOn w:val="Normal"/>
    <w:link w:val="LearningObjectivesChar"/>
    <w:rsid w:val="00FD3C9C"/>
    <w:pPr>
      <w:spacing w:before="300" w:after="300"/>
    </w:pPr>
    <w:rPr>
      <w:rFonts w:ascii="HelveticaNeue LT 57 Cn" w:hAnsi="HelveticaNeue LT 57 Cn"/>
      <w:b/>
      <w:smallCaps/>
      <w:sz w:val="32"/>
    </w:rPr>
  </w:style>
  <w:style w:type="paragraph" w:customStyle="1" w:styleId="MarginTextRight">
    <w:name w:val="Margin Text Right"/>
    <w:basedOn w:val="MarginTitleRight"/>
    <w:rsid w:val="00C61715"/>
    <w:pPr>
      <w:framePr w:wrap="around" w:x="10794"/>
      <w:shd w:val="clear" w:color="auto" w:fill="auto"/>
    </w:pPr>
    <w:rPr>
      <w:b w:val="0"/>
      <w:color w:val="auto"/>
      <w:sz w:val="20"/>
    </w:rPr>
  </w:style>
  <w:style w:type="paragraph" w:customStyle="1" w:styleId="MarginTitleRight">
    <w:name w:val="Margin Title Right"/>
    <w:basedOn w:val="Normal"/>
    <w:next w:val="MarginTextRight"/>
    <w:rsid w:val="00C61715"/>
    <w:pPr>
      <w:framePr w:w="1224" w:h="360" w:hSpace="187" w:wrap="around" w:vAnchor="text" w:hAnchor="page" w:x="10945" w:y="1"/>
      <w:shd w:val="clear" w:color="auto" w:fill="FF9900"/>
      <w:tabs>
        <w:tab w:val="left" w:pos="360"/>
        <w:tab w:val="left" w:pos="720"/>
      </w:tabs>
      <w:jc w:val="center"/>
    </w:pPr>
    <w:rPr>
      <w:rFonts w:ascii="Helvetica 55 Roman" w:hAnsi="Helvetica 55 Roman"/>
      <w:b/>
      <w:bCs/>
      <w:color w:val="FFFFFF"/>
    </w:rPr>
  </w:style>
  <w:style w:type="paragraph" w:customStyle="1" w:styleId="MarginTextLeft">
    <w:name w:val="Margin Text Left"/>
    <w:basedOn w:val="MarginTitleLeft"/>
    <w:rsid w:val="00C61715"/>
    <w:pPr>
      <w:framePr w:wrap="around"/>
      <w:shd w:val="clear" w:color="auto" w:fill="auto"/>
    </w:pPr>
    <w:rPr>
      <w:b w:val="0"/>
      <w:color w:val="auto"/>
      <w:sz w:val="20"/>
    </w:rPr>
  </w:style>
  <w:style w:type="paragraph" w:styleId="BalloonText">
    <w:name w:val="Balloon Text"/>
    <w:basedOn w:val="Normal"/>
    <w:link w:val="BalloonTextChar"/>
    <w:uiPriority w:val="99"/>
    <w:semiHidden/>
    <w:rsid w:val="00FD3C9C"/>
    <w:rPr>
      <w:rFonts w:ascii="Tahoma" w:hAnsi="Tahoma" w:cs="Tahoma"/>
      <w:sz w:val="16"/>
      <w:szCs w:val="16"/>
    </w:rPr>
  </w:style>
  <w:style w:type="paragraph" w:styleId="ListBullet">
    <w:name w:val="List Bullet"/>
    <w:basedOn w:val="Normal"/>
    <w:semiHidden/>
    <w:rsid w:val="00FD3C9C"/>
    <w:pPr>
      <w:numPr>
        <w:numId w:val="1"/>
      </w:numPr>
    </w:pPr>
  </w:style>
  <w:style w:type="character" w:styleId="PageNumber">
    <w:name w:val="page number"/>
    <w:basedOn w:val="DefaultParagraphFont"/>
    <w:rsid w:val="00FD3C9C"/>
    <w:rPr>
      <w:rFonts w:ascii="HelveticaNeue LT 55 Roman" w:hAnsi="HelveticaNeue LT 55 Roman"/>
      <w:color w:val="0066CC"/>
      <w:sz w:val="20"/>
    </w:rPr>
  </w:style>
  <w:style w:type="paragraph" w:customStyle="1" w:styleId="Heading1NoTOC">
    <w:name w:val="Heading 1 No TOC"/>
    <w:basedOn w:val="Heading1"/>
    <w:next w:val="Normal"/>
    <w:rsid w:val="00144AF2"/>
    <w:pPr>
      <w:keepNext w:val="0"/>
      <w:pageBreakBefore w:val="0"/>
      <w:spacing w:after="360"/>
    </w:pPr>
  </w:style>
  <w:style w:type="paragraph" w:customStyle="1" w:styleId="BoxText">
    <w:name w:val="Box Text"/>
    <w:basedOn w:val="Normal"/>
    <w:link w:val="BoxTextCharChar"/>
    <w:rsid w:val="00657D0A"/>
    <w:pPr>
      <w:keepLines/>
      <w:widowControl w:val="0"/>
      <w:pBdr>
        <w:top w:val="single" w:sz="6" w:space="1" w:color="808080" w:shadow="1"/>
        <w:left w:val="single" w:sz="6" w:space="4" w:color="808080" w:shadow="1"/>
        <w:bottom w:val="single" w:sz="6" w:space="1" w:color="808080" w:shadow="1"/>
        <w:right w:val="single" w:sz="6" w:space="4" w:color="808080" w:shadow="1"/>
      </w:pBdr>
      <w:shd w:val="clear" w:color="auto" w:fill="E6E6E6"/>
      <w:spacing w:before="60" w:after="60" w:line="280" w:lineRule="exact"/>
    </w:pPr>
    <w:rPr>
      <w:sz w:val="20"/>
    </w:rPr>
  </w:style>
  <w:style w:type="paragraph" w:customStyle="1" w:styleId="BoxTitle">
    <w:name w:val="Box Title"/>
    <w:basedOn w:val="BoxText"/>
    <w:next w:val="BoxText"/>
    <w:link w:val="BoxTitleCharChar"/>
    <w:rsid w:val="00FD3C9C"/>
    <w:pPr>
      <w:keepNext/>
    </w:pPr>
    <w:rPr>
      <w:rFonts w:ascii="HelveticaNeue LT 75 Bold" w:hAnsi="HelveticaNeue LT 75 Bold"/>
      <w:b/>
      <w:color w:val="0066CC"/>
    </w:rPr>
  </w:style>
  <w:style w:type="paragraph" w:customStyle="1" w:styleId="TableText">
    <w:name w:val="Table Text"/>
    <w:basedOn w:val="Normal"/>
    <w:rsid w:val="00144AF2"/>
    <w:rPr>
      <w:rFonts w:ascii="HelveticaNeue LT 57 Cn" w:hAnsi="HelveticaNeue LT 57 Cn"/>
      <w:sz w:val="20"/>
    </w:rPr>
  </w:style>
  <w:style w:type="character" w:styleId="Hyperlink">
    <w:name w:val="Hyperlink"/>
    <w:basedOn w:val="DefaultParagraphFont"/>
    <w:uiPriority w:val="99"/>
    <w:rsid w:val="00FD3C9C"/>
    <w:rPr>
      <w:color w:val="0000FF"/>
      <w:u w:val="single"/>
    </w:rPr>
  </w:style>
  <w:style w:type="paragraph" w:styleId="List">
    <w:name w:val="List"/>
    <w:basedOn w:val="Normal"/>
    <w:semiHidden/>
    <w:rsid w:val="00FD3C9C"/>
    <w:pPr>
      <w:ind w:left="360" w:hanging="360"/>
    </w:pPr>
  </w:style>
  <w:style w:type="paragraph" w:customStyle="1" w:styleId="TOCTitle">
    <w:name w:val="TOC Title"/>
    <w:basedOn w:val="LearningObjectives"/>
    <w:link w:val="TOCTitleChar"/>
    <w:rsid w:val="00FD3C9C"/>
    <w:pPr>
      <w:spacing w:after="30"/>
    </w:pPr>
  </w:style>
  <w:style w:type="paragraph" w:customStyle="1" w:styleId="TableLegend">
    <w:name w:val="Table Legend"/>
    <w:basedOn w:val="TableText"/>
    <w:rsid w:val="00144AF2"/>
    <w:rPr>
      <w:sz w:val="16"/>
    </w:rPr>
  </w:style>
  <w:style w:type="numbering" w:customStyle="1" w:styleId="NormalList">
    <w:name w:val="Normal List"/>
    <w:basedOn w:val="NoList"/>
    <w:rsid w:val="007F7DF5"/>
    <w:pPr>
      <w:numPr>
        <w:numId w:val="38"/>
      </w:numPr>
    </w:pPr>
  </w:style>
  <w:style w:type="character" w:customStyle="1" w:styleId="BoxTextCharChar">
    <w:name w:val="Box Text Char Char"/>
    <w:basedOn w:val="DefaultParagraphFont"/>
    <w:link w:val="BoxText"/>
    <w:rsid w:val="00657D0A"/>
    <w:rPr>
      <w:rFonts w:ascii="HelveticaNeue LT 55 Roman" w:hAnsi="HelveticaNeue LT 55 Roman"/>
      <w:szCs w:val="24"/>
      <w:lang w:val="en-US" w:eastAsia="en-US" w:bidi="ar-SA"/>
    </w:rPr>
  </w:style>
  <w:style w:type="character" w:customStyle="1" w:styleId="BoxTitleCharChar">
    <w:name w:val="Box Title Char Char"/>
    <w:basedOn w:val="BoxTextCharChar"/>
    <w:link w:val="BoxTitle"/>
    <w:rsid w:val="00FD3C9C"/>
    <w:rPr>
      <w:rFonts w:ascii="HelveticaNeue LT 75 Bold" w:hAnsi="HelveticaNeue LT 75 Bold"/>
      <w:b/>
      <w:color w:val="0066CC"/>
      <w:szCs w:val="24"/>
      <w:lang w:val="en-US" w:eastAsia="en-US" w:bidi="ar-SA"/>
    </w:rPr>
  </w:style>
  <w:style w:type="character" w:customStyle="1" w:styleId="LearningObjectivesChar">
    <w:name w:val="Learning Objectives Char"/>
    <w:basedOn w:val="DefaultParagraphFont"/>
    <w:link w:val="LearningObjectives"/>
    <w:rsid w:val="00FD3C9C"/>
    <w:rPr>
      <w:rFonts w:ascii="HelveticaNeue LT 57 Cn" w:hAnsi="HelveticaNeue LT 57 Cn"/>
      <w:b/>
      <w:smallCaps/>
      <w:sz w:val="32"/>
      <w:szCs w:val="24"/>
      <w:lang w:val="en-US" w:eastAsia="en-US" w:bidi="ar-SA"/>
    </w:rPr>
  </w:style>
  <w:style w:type="character" w:customStyle="1" w:styleId="TOCTitleChar">
    <w:name w:val="TOC Title Char"/>
    <w:basedOn w:val="LearningObjectivesChar"/>
    <w:link w:val="TOCTitle"/>
    <w:rsid w:val="00FD3C9C"/>
    <w:rPr>
      <w:rFonts w:ascii="HelveticaNeue LT 57 Cn" w:hAnsi="HelveticaNeue LT 57 Cn"/>
      <w:b/>
      <w:smallCaps/>
      <w:sz w:val="32"/>
      <w:szCs w:val="24"/>
      <w:lang w:val="en-US" w:eastAsia="en-US" w:bidi="ar-SA"/>
    </w:rPr>
  </w:style>
  <w:style w:type="character" w:customStyle="1" w:styleId="apple-tab-span">
    <w:name w:val="apple-tab-span"/>
    <w:basedOn w:val="DefaultParagraphFont"/>
    <w:rsid w:val="00596D1E"/>
  </w:style>
  <w:style w:type="character" w:customStyle="1" w:styleId="BalloonTextChar">
    <w:name w:val="Balloon Text Char"/>
    <w:basedOn w:val="DefaultParagraphFont"/>
    <w:link w:val="BalloonText"/>
    <w:uiPriority w:val="99"/>
    <w:semiHidden/>
    <w:rsid w:val="00596D1E"/>
    <w:rPr>
      <w:rFonts w:ascii="Tahoma" w:hAnsi="Tahoma" w:cs="Tahoma"/>
      <w:sz w:val="16"/>
      <w:szCs w:val="16"/>
    </w:rPr>
  </w:style>
  <w:style w:type="character" w:styleId="CommentReference">
    <w:name w:val="annotation reference"/>
    <w:basedOn w:val="DefaultParagraphFont"/>
    <w:uiPriority w:val="99"/>
    <w:unhideWhenUsed/>
    <w:rsid w:val="00596D1E"/>
    <w:rPr>
      <w:sz w:val="16"/>
      <w:szCs w:val="16"/>
    </w:rPr>
  </w:style>
  <w:style w:type="paragraph" w:styleId="CommentText">
    <w:name w:val="annotation text"/>
    <w:basedOn w:val="Normal"/>
    <w:link w:val="CommentTextChar"/>
    <w:uiPriority w:val="99"/>
    <w:unhideWhenUsed/>
    <w:rsid w:val="00596D1E"/>
    <w:pPr>
      <w:spacing w:before="0" w:after="200"/>
    </w:pPr>
    <w:rPr>
      <w:rFonts w:asciiTheme="minorHAnsi" w:eastAsiaTheme="minorEastAsia" w:hAnsiTheme="minorHAnsi" w:cstheme="minorBidi"/>
      <w:sz w:val="20"/>
      <w:szCs w:val="20"/>
      <w:lang w:val="en-CA"/>
    </w:rPr>
  </w:style>
  <w:style w:type="character" w:customStyle="1" w:styleId="CommentTextChar">
    <w:name w:val="Comment Text Char"/>
    <w:basedOn w:val="DefaultParagraphFont"/>
    <w:link w:val="CommentText"/>
    <w:uiPriority w:val="99"/>
    <w:rsid w:val="00596D1E"/>
    <w:rPr>
      <w:rFonts w:asciiTheme="minorHAnsi" w:eastAsiaTheme="minorEastAsia" w:hAnsiTheme="minorHAnsi" w:cstheme="minorBidi"/>
      <w:lang w:val="en-CA"/>
    </w:rPr>
  </w:style>
  <w:style w:type="table" w:customStyle="1" w:styleId="Table">
    <w:name w:val="Table"/>
    <w:basedOn w:val="TableNormal"/>
    <w:rsid w:val="007F7DF5"/>
    <w:pPr>
      <w:spacing w:before="120" w:after="120"/>
    </w:pPr>
    <w:rPr>
      <w:rFonts w:ascii="HelveticaNeue LT 55 Roman" w:hAnsi="HelveticaNeue LT 55 Roman"/>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rPr>
      <w:tblPr/>
      <w:tcPr>
        <w:shd w:val="clear" w:color="auto" w:fill="CCCCCC"/>
      </w:tcPr>
    </w:tblStylePr>
    <w:tblStylePr w:type="lastRow">
      <w:pPr>
        <w:wordWrap/>
        <w:spacing w:beforeLines="0" w:beforeAutospacing="0" w:afterLines="0" w:afterAutospacing="0"/>
      </w:pPr>
      <w:rPr>
        <w:sz w:val="16"/>
      </w:rPr>
      <w:tblPr/>
      <w:tcPr>
        <w:tcBorders>
          <w:top w:val="single" w:sz="4" w:space="0" w:color="auto"/>
          <w:left w:val="nil"/>
          <w:bottom w:val="nil"/>
          <w:right w:val="nil"/>
          <w:insideH w:val="nil"/>
          <w:insideV w:val="nil"/>
          <w:tl2br w:val="nil"/>
          <w:tr2bl w:val="nil"/>
        </w:tcBorders>
        <w:shd w:val="clear" w:color="auto" w:fill="auto"/>
      </w:tcPr>
    </w:tblStylePr>
    <w:tblStylePr w:type="band1Horz">
      <w:tblPr/>
      <w:tcPr>
        <w:shd w:val="clear" w:color="auto" w:fill="E0E0E0"/>
      </w:tcPr>
    </w:tblStylePr>
  </w:style>
  <w:style w:type="paragraph" w:customStyle="1" w:styleId="References">
    <w:name w:val="References"/>
    <w:rsid w:val="007F6510"/>
    <w:pPr>
      <w:tabs>
        <w:tab w:val="center" w:pos="144"/>
      </w:tabs>
      <w:spacing w:before="200"/>
      <w:ind w:left="360" w:hanging="360"/>
    </w:pPr>
    <w:rPr>
      <w:rFonts w:ascii="Helvetica Condensed" w:hAnsi="Helvetica Condensed"/>
      <w:sz w:val="24"/>
      <w:szCs w:val="24"/>
    </w:rPr>
  </w:style>
  <w:style w:type="paragraph" w:styleId="CommentSubject">
    <w:name w:val="annotation subject"/>
    <w:basedOn w:val="CommentText"/>
    <w:next w:val="CommentText"/>
    <w:link w:val="CommentSubjectChar"/>
    <w:uiPriority w:val="99"/>
    <w:unhideWhenUsed/>
    <w:rsid w:val="00596D1E"/>
    <w:rPr>
      <w:b/>
      <w:bCs/>
    </w:rPr>
  </w:style>
  <w:style w:type="character" w:customStyle="1" w:styleId="CommentSubjectChar">
    <w:name w:val="Comment Subject Char"/>
    <w:basedOn w:val="CommentTextChar"/>
    <w:link w:val="CommentSubject"/>
    <w:uiPriority w:val="99"/>
    <w:rsid w:val="00596D1E"/>
    <w:rPr>
      <w:rFonts w:asciiTheme="minorHAnsi" w:eastAsiaTheme="minorEastAsia" w:hAnsiTheme="minorHAnsi" w:cstheme="minorBidi"/>
      <w:b/>
      <w:bCs/>
      <w:lang w:val="en-CA"/>
    </w:rPr>
  </w:style>
  <w:style w:type="character" w:customStyle="1" w:styleId="acl-entry-item-name">
    <w:name w:val="acl-entry-item-name"/>
    <w:basedOn w:val="DefaultParagraphFont"/>
    <w:rsid w:val="00596D1E"/>
  </w:style>
  <w:style w:type="numbering" w:customStyle="1" w:styleId="MCQList">
    <w:name w:val="MCQ List"/>
    <w:basedOn w:val="NoList"/>
    <w:rsid w:val="007F7DF5"/>
    <w:pPr>
      <w:numPr>
        <w:numId w:val="36"/>
      </w:numPr>
    </w:pPr>
  </w:style>
  <w:style w:type="character" w:customStyle="1" w:styleId="charItalic">
    <w:name w:val="char Italic"/>
    <w:rsid w:val="00FD3C9C"/>
    <w:rPr>
      <w:i/>
    </w:rPr>
  </w:style>
  <w:style w:type="character" w:customStyle="1" w:styleId="charBold">
    <w:name w:val="char Bold"/>
    <w:rsid w:val="00FD3C9C"/>
    <w:rPr>
      <w:b/>
    </w:rPr>
  </w:style>
  <w:style w:type="paragraph" w:customStyle="1" w:styleId="Normal1">
    <w:name w:val="Normal1"/>
    <w:rsid w:val="00596D1E"/>
    <w:pPr>
      <w:spacing w:line="276" w:lineRule="auto"/>
    </w:pPr>
    <w:rPr>
      <w:rFonts w:ascii="Arial" w:eastAsia="Arial" w:hAnsi="Arial" w:cs="Arial"/>
      <w:color w:val="000000"/>
      <w:sz w:val="22"/>
      <w:szCs w:val="22"/>
      <w:lang w:val="en-CA" w:eastAsia="zh-CN"/>
    </w:rPr>
  </w:style>
  <w:style w:type="table" w:styleId="LightShading-Accent5">
    <w:name w:val="Light Shading Accent 5"/>
    <w:basedOn w:val="TableNormal"/>
    <w:uiPriority w:val="60"/>
    <w:rsid w:val="00596D1E"/>
    <w:rPr>
      <w:rFonts w:asciiTheme="minorHAnsi" w:eastAsiaTheme="minorEastAsia" w:hAnsiTheme="minorHAnsi" w:cstheme="minorBidi"/>
      <w:color w:val="31849B" w:themeColor="accent5" w:themeShade="BF"/>
      <w:sz w:val="22"/>
      <w:szCs w:val="22"/>
      <w:lang w:val="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harGlossaryItem">
    <w:name w:val="Char GlossaryItem"/>
    <w:rsid w:val="002A4AA0"/>
    <w:rPr>
      <w:color w:val="3366FF"/>
    </w:rPr>
  </w:style>
  <w:style w:type="character" w:customStyle="1" w:styleId="Heading1Char">
    <w:name w:val="Heading 1 Char"/>
    <w:basedOn w:val="DefaultParagraphFont"/>
    <w:link w:val="Heading1"/>
    <w:uiPriority w:val="9"/>
    <w:rsid w:val="00596D1E"/>
    <w:rPr>
      <w:rFonts w:ascii="HelveticaNeue LT 45 Lt" w:hAnsi="HelveticaNeue LT 45 Lt" w:cs="Arial"/>
      <w:bCs/>
      <w:color w:val="0066CC"/>
      <w:kern w:val="32"/>
      <w:sz w:val="56"/>
      <w:szCs w:val="32"/>
    </w:rPr>
  </w:style>
  <w:style w:type="paragraph" w:styleId="FootnoteText">
    <w:name w:val="footnote text"/>
    <w:basedOn w:val="Normal"/>
    <w:semiHidden/>
    <w:rsid w:val="008F43CD"/>
    <w:rPr>
      <w:rFonts w:ascii="Arial" w:hAnsi="Arial"/>
      <w:sz w:val="20"/>
      <w:szCs w:val="20"/>
    </w:rPr>
  </w:style>
  <w:style w:type="paragraph" w:styleId="TOC1">
    <w:name w:val="toc 1"/>
    <w:basedOn w:val="Normal"/>
    <w:next w:val="Normal"/>
    <w:autoRedefine/>
    <w:uiPriority w:val="39"/>
    <w:rsid w:val="009B58E8"/>
    <w:pPr>
      <w:spacing w:before="360" w:after="120"/>
    </w:pPr>
    <w:rPr>
      <w:rFonts w:ascii="Arial" w:hAnsi="Arial" w:cs="Arial"/>
      <w:b/>
      <w:bCs/>
      <w:szCs w:val="22"/>
    </w:rPr>
  </w:style>
  <w:style w:type="paragraph" w:styleId="TOC3">
    <w:name w:val="toc 3"/>
    <w:basedOn w:val="Normal"/>
    <w:next w:val="Normal"/>
    <w:autoRedefine/>
    <w:uiPriority w:val="39"/>
    <w:rsid w:val="009B58E8"/>
    <w:pPr>
      <w:ind w:left="576"/>
    </w:pPr>
    <w:rPr>
      <w:sz w:val="20"/>
    </w:rPr>
  </w:style>
  <w:style w:type="character" w:customStyle="1" w:styleId="FooterChar">
    <w:name w:val="Footer Char"/>
    <w:basedOn w:val="DefaultParagraphFont"/>
    <w:link w:val="Footer"/>
    <w:uiPriority w:val="99"/>
    <w:rsid w:val="007D5A6C"/>
    <w:rPr>
      <w:rFonts w:ascii="HelveticaNeue LT 57 Cn" w:hAnsi="HelveticaNeue LT 57 Cn"/>
      <w:color w:val="0066CC"/>
      <w:szCs w:val="24"/>
    </w:rPr>
  </w:style>
  <w:style w:type="paragraph" w:styleId="ListParagraph">
    <w:name w:val="List Paragraph"/>
    <w:basedOn w:val="Normal"/>
    <w:uiPriority w:val="34"/>
    <w:qFormat/>
    <w:rsid w:val="00C1044A"/>
    <w:pPr>
      <w:ind w:left="720"/>
      <w:contextualSpacing/>
    </w:pPr>
  </w:style>
  <w:style w:type="character" w:styleId="SubtleEmphasis">
    <w:name w:val="Subtle Emphasis"/>
    <w:basedOn w:val="DefaultParagraphFont"/>
    <w:uiPriority w:val="19"/>
    <w:qFormat/>
    <w:rsid w:val="004E2EB0"/>
    <w:rPr>
      <w:i/>
      <w:iCs/>
      <w:color w:val="808080" w:themeColor="text1" w:themeTint="7F"/>
    </w:rPr>
  </w:style>
  <w:style w:type="paragraph" w:customStyle="1" w:styleId="Footnotes">
    <w:name w:val="Footnotes"/>
    <w:basedOn w:val="FootnoteText"/>
    <w:rsid w:val="00922FF3"/>
  </w:style>
  <w:style w:type="table" w:styleId="LightList-Accent5">
    <w:name w:val="Light List Accent 5"/>
    <w:basedOn w:val="TableNormal"/>
    <w:uiPriority w:val="61"/>
    <w:rsid w:val="000561F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EF572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E61E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61E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5786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786B"/>
    <w:rPr>
      <w:rFonts w:asciiTheme="minorHAnsi" w:eastAsiaTheme="minorEastAsia" w:hAnsiTheme="minorHAnsi" w:cstheme="minorBidi"/>
      <w:sz w:val="22"/>
      <w:szCs w:val="22"/>
    </w:rPr>
  </w:style>
  <w:style w:type="character" w:styleId="FootnoteReference">
    <w:name w:val="footnote reference"/>
    <w:basedOn w:val="DefaultParagraphFont"/>
    <w:rsid w:val="00F97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92007">
      <w:bodyDiv w:val="1"/>
      <w:marLeft w:val="0"/>
      <w:marRight w:val="0"/>
      <w:marTop w:val="0"/>
      <w:marBottom w:val="0"/>
      <w:divBdr>
        <w:top w:val="none" w:sz="0" w:space="0" w:color="auto"/>
        <w:left w:val="none" w:sz="0" w:space="0" w:color="auto"/>
        <w:bottom w:val="none" w:sz="0" w:space="0" w:color="auto"/>
        <w:right w:val="none" w:sz="0" w:space="0" w:color="auto"/>
      </w:divBdr>
    </w:div>
    <w:div w:id="1001813595">
      <w:bodyDiv w:val="1"/>
      <w:marLeft w:val="0"/>
      <w:marRight w:val="0"/>
      <w:marTop w:val="0"/>
      <w:marBottom w:val="0"/>
      <w:divBdr>
        <w:top w:val="none" w:sz="0" w:space="0" w:color="auto"/>
        <w:left w:val="none" w:sz="0" w:space="0" w:color="auto"/>
        <w:bottom w:val="none" w:sz="0" w:space="0" w:color="auto"/>
        <w:right w:val="none" w:sz="0" w:space="0" w:color="auto"/>
      </w:divBdr>
    </w:div>
    <w:div w:id="1055154103">
      <w:bodyDiv w:val="1"/>
      <w:marLeft w:val="0"/>
      <w:marRight w:val="0"/>
      <w:marTop w:val="0"/>
      <w:marBottom w:val="0"/>
      <w:divBdr>
        <w:top w:val="none" w:sz="0" w:space="0" w:color="auto"/>
        <w:left w:val="none" w:sz="0" w:space="0" w:color="auto"/>
        <w:bottom w:val="none" w:sz="0" w:space="0" w:color="auto"/>
        <w:right w:val="none" w:sz="0" w:space="0" w:color="auto"/>
      </w:divBdr>
    </w:div>
    <w:div w:id="1186989855">
      <w:bodyDiv w:val="1"/>
      <w:marLeft w:val="0"/>
      <w:marRight w:val="0"/>
      <w:marTop w:val="0"/>
      <w:marBottom w:val="0"/>
      <w:divBdr>
        <w:top w:val="none" w:sz="0" w:space="0" w:color="auto"/>
        <w:left w:val="none" w:sz="0" w:space="0" w:color="auto"/>
        <w:bottom w:val="none" w:sz="0" w:space="0" w:color="auto"/>
        <w:right w:val="none" w:sz="0" w:space="0" w:color="auto"/>
      </w:divBdr>
    </w:div>
    <w:div w:id="1622105727">
      <w:bodyDiv w:val="1"/>
      <w:marLeft w:val="0"/>
      <w:marRight w:val="0"/>
      <w:marTop w:val="0"/>
      <w:marBottom w:val="0"/>
      <w:divBdr>
        <w:top w:val="none" w:sz="0" w:space="0" w:color="auto"/>
        <w:left w:val="none" w:sz="0" w:space="0" w:color="auto"/>
        <w:bottom w:val="none" w:sz="0" w:space="0" w:color="auto"/>
        <w:right w:val="none" w:sz="0" w:space="0" w:color="auto"/>
      </w:divBdr>
    </w:div>
    <w:div w:id="19479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wta.ca/facts-figures/" TargetMode="External"/><Relationship Id="rId18" Type="http://schemas.openxmlformats.org/officeDocument/2006/relationships/hyperlink" Target="https://www.rogers.com/web/Rogers.portal?_nfpb=true&amp;_windowLabel=investor_1_1&amp;investor_1_1_actionOverride=%2Fportlets%2Fconsumer%2Finvestor%2FshowLandingPageAction&amp;_pageLabel=IR_LANDING" TargetMode="External"/><Relationship Id="rId26" Type="http://schemas.openxmlformats.org/officeDocument/2006/relationships/chart" Target="charts/chart6.xml"/><Relationship Id="rId39" Type="http://schemas.openxmlformats.org/officeDocument/2006/relationships/image" Target="media/image6.emf"/><Relationship Id="rId21" Type="http://schemas.openxmlformats.org/officeDocument/2006/relationships/chart" Target="charts/chart1.xml"/><Relationship Id="rId34" Type="http://schemas.openxmlformats.org/officeDocument/2006/relationships/hyperlink" Target="http://www.ic.gc.ca/eic/site/icgc.nsf/eng/07389.html" TargetMode="External"/><Relationship Id="rId42" Type="http://schemas.openxmlformats.org/officeDocument/2006/relationships/image" Target="media/image9.emf"/><Relationship Id="rId47" Type="http://schemas.openxmlformats.org/officeDocument/2006/relationships/image" Target="media/image14.emf"/><Relationship Id="rId50" Type="http://schemas.openxmlformats.org/officeDocument/2006/relationships/image" Target="media/image17.emf"/><Relationship Id="rId55" Type="http://schemas.openxmlformats.org/officeDocument/2006/relationships/image" Target="media/image22.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rogers.com/cms/investor_relations/pdfs/At_A_Glance_Highlights-Rogers_Wireless.pdf" TargetMode="External"/><Relationship Id="rId25" Type="http://schemas.openxmlformats.org/officeDocument/2006/relationships/chart" Target="charts/chart5.xml"/><Relationship Id="rId33" Type="http://schemas.openxmlformats.org/officeDocument/2006/relationships/hyperlink" Target="http://cwta.ca/facts-figures/" TargetMode="External"/><Relationship Id="rId38" Type="http://schemas.openxmlformats.org/officeDocument/2006/relationships/image" Target="media/image5.emf"/><Relationship Id="rId46"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hyperlink" Target="http://www.ic.gc.ca/eic/site/icgc.nsf/eng/07389.html" TargetMode="External"/><Relationship Id="rId20" Type="http://schemas.openxmlformats.org/officeDocument/2006/relationships/image" Target="media/image3.png"/><Relationship Id="rId29" Type="http://schemas.openxmlformats.org/officeDocument/2006/relationships/chart" Target="charts/chart9.xml"/><Relationship Id="rId41" Type="http://schemas.openxmlformats.org/officeDocument/2006/relationships/image" Target="media/image8.emf"/><Relationship Id="rId54"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chart" Target="charts/chart4.xml"/><Relationship Id="rId32" Type="http://schemas.openxmlformats.org/officeDocument/2006/relationships/chart" Target="charts/chart11.xml"/><Relationship Id="rId37" Type="http://schemas.openxmlformats.org/officeDocument/2006/relationships/hyperlink" Target="http://about.telus.com/community/english/investor_relations" TargetMode="External"/><Relationship Id="rId40" Type="http://schemas.openxmlformats.org/officeDocument/2006/relationships/image" Target="media/image7.emf"/><Relationship Id="rId45" Type="http://schemas.openxmlformats.org/officeDocument/2006/relationships/image" Target="media/image12.emf"/><Relationship Id="rId53" Type="http://schemas.openxmlformats.org/officeDocument/2006/relationships/image" Target="media/image20.emf"/><Relationship Id="rId58"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cwta.ca/facts-figures/" TargetMode="Externa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hyperlink" Target="https://www.rogers.com/web/Rogers.portal?_nfpb=true&amp;_windowLabel=investor_1_1&amp;investor_1_1_actionOverride=%2Fportlets%2Fconsumer%2Finvestor%2FshowLandingPageAction&amp;_pageLabel=IR_LANDING" TargetMode="External"/><Relationship Id="rId49" Type="http://schemas.openxmlformats.org/officeDocument/2006/relationships/image" Target="media/image16.emf"/><Relationship Id="rId57"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about.telus.com/community/english/investor_relations" TargetMode="External"/><Relationship Id="rId31" Type="http://schemas.openxmlformats.org/officeDocument/2006/relationships/image" Target="media/image4.png"/><Relationship Id="rId44" Type="http://schemas.openxmlformats.org/officeDocument/2006/relationships/image" Target="media/image11.emf"/><Relationship Id="rId52" Type="http://schemas.openxmlformats.org/officeDocument/2006/relationships/image" Target="media/image19.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rogers.com/cms/investor_relations/pdfs/At_A_Glance_Highlights-Rogers_Wireless.pdf" TargetMode="Externa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hyperlink" Target="http://www.rogers.com/cms/investor_relations/pdfs/At_A_Glance_Highlights-Rogers_Wireless.pdf" TargetMode="External"/><Relationship Id="rId43" Type="http://schemas.openxmlformats.org/officeDocument/2006/relationships/image" Target="media/image10.emf"/><Relationship Id="rId48" Type="http://schemas.openxmlformats.org/officeDocument/2006/relationships/image" Target="media/image15.emf"/><Relationship Id="rId56"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image" Target="media/image18.emf"/><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canuel\Downloads\Finances%20-%20JS%20+%20Simon%2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canuel\Desktop\Finances%20-%20JS%20+%20Simon%2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canuel\Desktop\Finances%20-%20JS%20+%20Simon%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canuel\Desktop\Finances%20-%20JS%20+%20Simon%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canuel\Desktop\Finances%20-%20JS%20+%20Simon%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canuel\Desktop\Finances%20-%20JS%20+%20Simon%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MBA%20Program\MBA%20607%20accounting\Term%20Project\Feng%20accounting%20files\(Feng%20group)Finances%20from%20googl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MBA%20Program\MBA%20607%20accounting\Term%20Project\Feng%20accounting%20files\(Feng%20group)Finances%20from%20googl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MBA%20Program\MBA%20607%20accounting\Term%20Project\Feng%20accounting%20files\(Feng%20group)Finances%20from%20googl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MBA%20Program\MBA%20607%20accounting\Term%20Project\Feng%20accounting%20files\(Feng%20group)Finances%20from%20googl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canuel\Desktop\Finances%20-%20JS%20+%20Simon%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a:pPr>
            <a:r>
              <a:rPr lang="en-US"/>
              <a:t>Gross Margin Comparison</a:t>
            </a:r>
          </a:p>
        </c:rich>
      </c:tx>
      <c:overlay val="0"/>
    </c:title>
    <c:autoTitleDeleted val="0"/>
    <c:plotArea>
      <c:layout/>
      <c:lineChart>
        <c:grouping val="standard"/>
        <c:varyColors val="0"/>
        <c:ser>
          <c:idx val="0"/>
          <c:order val="0"/>
          <c:tx>
            <c:v>Telus</c:v>
          </c:tx>
          <c:marker>
            <c:symbol val="none"/>
          </c:marker>
          <c:cat>
            <c:numRef>
              <c:f>'Ratios Simon'!$E$3:$H$3</c:f>
              <c:numCache>
                <c:formatCode>General</c:formatCode>
                <c:ptCount val="4"/>
                <c:pt idx="0">
                  <c:v>2012</c:v>
                </c:pt>
                <c:pt idx="1">
                  <c:v>2011</c:v>
                </c:pt>
                <c:pt idx="2">
                  <c:v>2010</c:v>
                </c:pt>
                <c:pt idx="3">
                  <c:v>2009</c:v>
                </c:pt>
              </c:numCache>
            </c:numRef>
          </c:cat>
          <c:val>
            <c:numRef>
              <c:f>'Ratios Simon'!$E$6:$H$6</c:f>
              <c:numCache>
                <c:formatCode>0.00</c:formatCode>
                <c:ptCount val="4"/>
                <c:pt idx="0">
                  <c:v>55.233037267649436</c:v>
                </c:pt>
                <c:pt idx="1">
                  <c:v>54.227602905569057</c:v>
                </c:pt>
                <c:pt idx="2">
                  <c:v>56.518168753849295</c:v>
                </c:pt>
                <c:pt idx="3">
                  <c:v>65.875494482615011</c:v>
                </c:pt>
              </c:numCache>
            </c:numRef>
          </c:val>
          <c:smooth val="0"/>
        </c:ser>
        <c:ser>
          <c:idx val="1"/>
          <c:order val="1"/>
          <c:tx>
            <c:v>Rogers</c:v>
          </c:tx>
          <c:marker>
            <c:symbol val="none"/>
          </c:marker>
          <c:cat>
            <c:numRef>
              <c:f>'Ratios Simon'!$E$3:$H$3</c:f>
              <c:numCache>
                <c:formatCode>General</c:formatCode>
                <c:ptCount val="4"/>
                <c:pt idx="0">
                  <c:v>2012</c:v>
                </c:pt>
                <c:pt idx="1">
                  <c:v>2011</c:v>
                </c:pt>
                <c:pt idx="2">
                  <c:v>2010</c:v>
                </c:pt>
                <c:pt idx="3">
                  <c:v>2009</c:v>
                </c:pt>
              </c:numCache>
            </c:numRef>
          </c:cat>
          <c:val>
            <c:numRef>
              <c:f>'Ratios Simon'!$K$6:$N$6</c:f>
              <c:numCache>
                <c:formatCode>0.00</c:formatCode>
                <c:ptCount val="4"/>
                <c:pt idx="0">
                  <c:v>38.098670510972312</c:v>
                </c:pt>
                <c:pt idx="1">
                  <c:v>37.866515470597768</c:v>
                </c:pt>
                <c:pt idx="2">
                  <c:v>37.646186789655737</c:v>
                </c:pt>
                <c:pt idx="3">
                  <c:v>88.236296990878927</c:v>
                </c:pt>
              </c:numCache>
            </c:numRef>
          </c:val>
          <c:smooth val="0"/>
        </c:ser>
        <c:dLbls>
          <c:showLegendKey val="0"/>
          <c:showVal val="0"/>
          <c:showCatName val="0"/>
          <c:showSerName val="0"/>
          <c:showPercent val="0"/>
          <c:showBubbleSize val="0"/>
        </c:dLbls>
        <c:marker val="1"/>
        <c:smooth val="0"/>
        <c:axId val="231080320"/>
        <c:axId val="231081856"/>
      </c:lineChart>
      <c:catAx>
        <c:axId val="231080320"/>
        <c:scaling>
          <c:orientation val="maxMin"/>
        </c:scaling>
        <c:delete val="0"/>
        <c:axPos val="b"/>
        <c:numFmt formatCode="General" sourceLinked="1"/>
        <c:majorTickMark val="none"/>
        <c:minorTickMark val="none"/>
        <c:tickLblPos val="nextTo"/>
        <c:crossAx val="231081856"/>
        <c:crosses val="autoZero"/>
        <c:auto val="1"/>
        <c:lblAlgn val="ctr"/>
        <c:lblOffset val="100"/>
        <c:noMultiLvlLbl val="0"/>
      </c:catAx>
      <c:valAx>
        <c:axId val="231081856"/>
        <c:scaling>
          <c:orientation val="minMax"/>
        </c:scaling>
        <c:delete val="0"/>
        <c:axPos val="r"/>
        <c:majorGridlines/>
        <c:title>
          <c:tx>
            <c:rich>
              <a:bodyPr/>
              <a:lstStyle/>
              <a:p>
                <a:pPr>
                  <a:defRPr/>
                </a:pPr>
                <a:r>
                  <a:rPr lang="en-US"/>
                  <a:t>Gross Margin (%)</a:t>
                </a:r>
              </a:p>
            </c:rich>
          </c:tx>
          <c:overlay val="0"/>
        </c:title>
        <c:numFmt formatCode="0" sourceLinked="0"/>
        <c:majorTickMark val="none"/>
        <c:minorTickMark val="none"/>
        <c:tickLblPos val="nextTo"/>
        <c:crossAx val="231080320"/>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a:pPr>
            <a:r>
              <a:rPr lang="en-US"/>
              <a:t>Growth in Dividends Awarded</a:t>
            </a:r>
          </a:p>
        </c:rich>
      </c:tx>
      <c:overlay val="0"/>
    </c:title>
    <c:autoTitleDeleted val="0"/>
    <c:plotArea>
      <c:layout/>
      <c:barChart>
        <c:barDir val="col"/>
        <c:grouping val="clustered"/>
        <c:varyColors val="0"/>
        <c:ser>
          <c:idx val="0"/>
          <c:order val="0"/>
          <c:tx>
            <c:v>Telus</c:v>
          </c:tx>
          <c:invertIfNegative val="0"/>
          <c:cat>
            <c:numRef>
              <c:f>'Ratios Simon'!$E$3:$G$3</c:f>
              <c:numCache>
                <c:formatCode>General</c:formatCode>
                <c:ptCount val="3"/>
                <c:pt idx="0">
                  <c:v>2012</c:v>
                </c:pt>
                <c:pt idx="1">
                  <c:v>2011</c:v>
                </c:pt>
                <c:pt idx="2">
                  <c:v>2010</c:v>
                </c:pt>
              </c:numCache>
            </c:numRef>
          </c:cat>
          <c:val>
            <c:numRef>
              <c:f>IS!$C$43:$E$43</c:f>
              <c:numCache>
                <c:formatCode>0.00</c:formatCode>
                <c:ptCount val="3"/>
                <c:pt idx="0">
                  <c:v>10.909090909090899</c:v>
                </c:pt>
                <c:pt idx="1">
                  <c:v>10.000000000000009</c:v>
                </c:pt>
                <c:pt idx="2">
                  <c:v>5.2631578947368478</c:v>
                </c:pt>
              </c:numCache>
            </c:numRef>
          </c:val>
        </c:ser>
        <c:ser>
          <c:idx val="1"/>
          <c:order val="1"/>
          <c:tx>
            <c:v>Rogers</c:v>
          </c:tx>
          <c:invertIfNegative val="0"/>
          <c:cat>
            <c:numRef>
              <c:f>'Ratios Simon'!$E$3:$G$3</c:f>
              <c:numCache>
                <c:formatCode>General</c:formatCode>
                <c:ptCount val="3"/>
                <c:pt idx="0">
                  <c:v>2012</c:v>
                </c:pt>
                <c:pt idx="1">
                  <c:v>2011</c:v>
                </c:pt>
                <c:pt idx="2">
                  <c:v>2010</c:v>
                </c:pt>
              </c:numCache>
            </c:numRef>
          </c:cat>
          <c:val>
            <c:numRef>
              <c:f>IS!$J$43:$L$43</c:f>
              <c:numCache>
                <c:formatCode>0.00</c:formatCode>
                <c:ptCount val="3"/>
                <c:pt idx="0">
                  <c:v>11.267605633802827</c:v>
                </c:pt>
                <c:pt idx="1">
                  <c:v>10.937500000000002</c:v>
                </c:pt>
                <c:pt idx="2">
                  <c:v>10.344827586206906</c:v>
                </c:pt>
              </c:numCache>
            </c:numRef>
          </c:val>
        </c:ser>
        <c:dLbls>
          <c:showLegendKey val="0"/>
          <c:showVal val="0"/>
          <c:showCatName val="0"/>
          <c:showSerName val="0"/>
          <c:showPercent val="0"/>
          <c:showBubbleSize val="0"/>
        </c:dLbls>
        <c:gapWidth val="150"/>
        <c:axId val="239646592"/>
        <c:axId val="239648128"/>
      </c:barChart>
      <c:catAx>
        <c:axId val="239646592"/>
        <c:scaling>
          <c:orientation val="maxMin"/>
        </c:scaling>
        <c:delete val="0"/>
        <c:axPos val="b"/>
        <c:numFmt formatCode="General" sourceLinked="1"/>
        <c:majorTickMark val="none"/>
        <c:minorTickMark val="none"/>
        <c:tickLblPos val="nextTo"/>
        <c:crossAx val="239648128"/>
        <c:crosses val="autoZero"/>
        <c:auto val="1"/>
        <c:lblAlgn val="ctr"/>
        <c:lblOffset val="100"/>
        <c:noMultiLvlLbl val="0"/>
      </c:catAx>
      <c:valAx>
        <c:axId val="239648128"/>
        <c:scaling>
          <c:orientation val="minMax"/>
        </c:scaling>
        <c:delete val="0"/>
        <c:axPos val="r"/>
        <c:majorGridlines/>
        <c:title>
          <c:tx>
            <c:rich>
              <a:bodyPr/>
              <a:lstStyle/>
              <a:p>
                <a:pPr>
                  <a:defRPr/>
                </a:pPr>
                <a:r>
                  <a:rPr lang="en-US"/>
                  <a:t>Annual Growth in Dividends (%)</a:t>
                </a:r>
              </a:p>
            </c:rich>
          </c:tx>
          <c:overlay val="0"/>
        </c:title>
        <c:numFmt formatCode="0.00" sourceLinked="1"/>
        <c:majorTickMark val="out"/>
        <c:minorTickMark val="none"/>
        <c:tickLblPos val="nextTo"/>
        <c:crossAx val="239646592"/>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a:pPr>
            <a:r>
              <a:rPr lang="en-US"/>
              <a:t>Payout Ratio</a:t>
            </a:r>
          </a:p>
        </c:rich>
      </c:tx>
      <c:overlay val="0"/>
    </c:title>
    <c:autoTitleDeleted val="0"/>
    <c:plotArea>
      <c:layout/>
      <c:lineChart>
        <c:grouping val="standard"/>
        <c:varyColors val="0"/>
        <c:ser>
          <c:idx val="0"/>
          <c:order val="0"/>
          <c:tx>
            <c:v>Telus</c:v>
          </c:tx>
          <c:marker>
            <c:symbol val="none"/>
          </c:marker>
          <c:cat>
            <c:numRef>
              <c:f>'Ratios Simon'!$E$3:$H$3</c:f>
              <c:numCache>
                <c:formatCode>General</c:formatCode>
                <c:ptCount val="4"/>
                <c:pt idx="0">
                  <c:v>2012</c:v>
                </c:pt>
                <c:pt idx="1">
                  <c:v>2011</c:v>
                </c:pt>
                <c:pt idx="2">
                  <c:v>2010</c:v>
                </c:pt>
                <c:pt idx="3">
                  <c:v>2009</c:v>
                </c:pt>
              </c:numCache>
            </c:numRef>
          </c:cat>
          <c:val>
            <c:numRef>
              <c:f>'Ratios Simon'!$E$25:$H$25</c:f>
              <c:numCache>
                <c:formatCode>0.00</c:formatCode>
                <c:ptCount val="4"/>
                <c:pt idx="0">
                  <c:v>0.60537177541729892</c:v>
                </c:pt>
                <c:pt idx="1">
                  <c:v>0.58835110746513541</c:v>
                </c:pt>
                <c:pt idx="2">
                  <c:v>0.61259541984732824</c:v>
                </c:pt>
                <c:pt idx="3">
                  <c:v>0.60541082164328663</c:v>
                </c:pt>
              </c:numCache>
            </c:numRef>
          </c:val>
          <c:smooth val="0"/>
        </c:ser>
        <c:ser>
          <c:idx val="1"/>
          <c:order val="1"/>
          <c:tx>
            <c:v>Rogers</c:v>
          </c:tx>
          <c:marker>
            <c:symbol val="none"/>
          </c:marker>
          <c:val>
            <c:numRef>
              <c:f>'Ratios Simon'!$K$25:$N$25</c:f>
              <c:numCache>
                <c:formatCode>0.00</c:formatCode>
                <c:ptCount val="4"/>
                <c:pt idx="0">
                  <c:v>0.48515294117647062</c:v>
                </c:pt>
                <c:pt idx="1">
                  <c:v>0.4969545745361485</c:v>
                </c:pt>
                <c:pt idx="2">
                  <c:v>0.49427430093209057</c:v>
                </c:pt>
                <c:pt idx="3">
                  <c:v>0.48738836265223279</c:v>
                </c:pt>
              </c:numCache>
            </c:numRef>
          </c:val>
          <c:smooth val="0"/>
        </c:ser>
        <c:dLbls>
          <c:showLegendKey val="0"/>
          <c:showVal val="0"/>
          <c:showCatName val="0"/>
          <c:showSerName val="0"/>
          <c:showPercent val="0"/>
          <c:showBubbleSize val="0"/>
        </c:dLbls>
        <c:hiLowLines/>
        <c:marker val="1"/>
        <c:smooth val="0"/>
        <c:axId val="245229440"/>
        <c:axId val="245230976"/>
      </c:lineChart>
      <c:catAx>
        <c:axId val="245229440"/>
        <c:scaling>
          <c:orientation val="maxMin"/>
        </c:scaling>
        <c:delete val="0"/>
        <c:axPos val="b"/>
        <c:numFmt formatCode="General" sourceLinked="1"/>
        <c:majorTickMark val="none"/>
        <c:minorTickMark val="none"/>
        <c:tickLblPos val="nextTo"/>
        <c:crossAx val="245230976"/>
        <c:crosses val="autoZero"/>
        <c:auto val="1"/>
        <c:lblAlgn val="ctr"/>
        <c:lblOffset val="100"/>
        <c:tickLblSkip val="1"/>
        <c:noMultiLvlLbl val="0"/>
      </c:catAx>
      <c:valAx>
        <c:axId val="245230976"/>
        <c:scaling>
          <c:orientation val="minMax"/>
        </c:scaling>
        <c:delete val="0"/>
        <c:axPos val="r"/>
        <c:majorGridlines/>
        <c:title>
          <c:tx>
            <c:rich>
              <a:bodyPr/>
              <a:lstStyle/>
              <a:p>
                <a:pPr>
                  <a:defRPr/>
                </a:pPr>
                <a:r>
                  <a:rPr lang="en-US"/>
                  <a:t>Dividends/NI</a:t>
                </a:r>
              </a:p>
            </c:rich>
          </c:tx>
          <c:overlay val="0"/>
        </c:title>
        <c:numFmt formatCode="0.00" sourceLinked="1"/>
        <c:majorTickMark val="out"/>
        <c:minorTickMark val="none"/>
        <c:tickLblPos val="nextTo"/>
        <c:crossAx val="2452294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a:pPr>
            <a:r>
              <a:rPr lang="en-US"/>
              <a:t>Operating Margin Comparison</a:t>
            </a:r>
          </a:p>
        </c:rich>
      </c:tx>
      <c:overlay val="0"/>
    </c:title>
    <c:autoTitleDeleted val="0"/>
    <c:plotArea>
      <c:layout/>
      <c:lineChart>
        <c:grouping val="standard"/>
        <c:varyColors val="0"/>
        <c:ser>
          <c:idx val="0"/>
          <c:order val="0"/>
          <c:tx>
            <c:v>Telus</c:v>
          </c:tx>
          <c:marker>
            <c:symbol val="none"/>
          </c:marker>
          <c:cat>
            <c:numRef>
              <c:f>'Ratios Simon'!$E$3:$H$3</c:f>
              <c:numCache>
                <c:formatCode>General</c:formatCode>
                <c:ptCount val="4"/>
                <c:pt idx="0">
                  <c:v>2012</c:v>
                </c:pt>
                <c:pt idx="1">
                  <c:v>2011</c:v>
                </c:pt>
                <c:pt idx="2">
                  <c:v>2010</c:v>
                </c:pt>
                <c:pt idx="3">
                  <c:v>2009</c:v>
                </c:pt>
              </c:numCache>
            </c:numRef>
          </c:cat>
          <c:val>
            <c:numRef>
              <c:f>'Ratios Simon'!$E$7:$H$7</c:f>
              <c:numCache>
                <c:formatCode>0.00</c:formatCode>
                <c:ptCount val="4"/>
                <c:pt idx="0">
                  <c:v>19.29310502701221</c:v>
                </c:pt>
                <c:pt idx="1">
                  <c:v>18.928537078003217</c:v>
                </c:pt>
                <c:pt idx="2">
                  <c:v>19.495506535947655</c:v>
                </c:pt>
                <c:pt idx="3">
                  <c:v>17.384967728503035</c:v>
                </c:pt>
              </c:numCache>
            </c:numRef>
          </c:val>
          <c:smooth val="0"/>
        </c:ser>
        <c:ser>
          <c:idx val="1"/>
          <c:order val="1"/>
          <c:tx>
            <c:v>Rogers</c:v>
          </c:tx>
          <c:marker>
            <c:symbol val="none"/>
          </c:marker>
          <c:val>
            <c:numRef>
              <c:f>'Ratios Simon'!$K$7:$N$7</c:f>
              <c:numCache>
                <c:formatCode>0.00</c:formatCode>
                <c:ptCount val="4"/>
                <c:pt idx="0">
                  <c:v>22.152811148486336</c:v>
                </c:pt>
                <c:pt idx="1">
                  <c:v>22.404017495545116</c:v>
                </c:pt>
                <c:pt idx="2">
                  <c:v>23.011036073134576</c:v>
                </c:pt>
                <c:pt idx="3">
                  <c:v>21.831045946637115</c:v>
                </c:pt>
              </c:numCache>
            </c:numRef>
          </c:val>
          <c:smooth val="0"/>
        </c:ser>
        <c:dLbls>
          <c:showLegendKey val="0"/>
          <c:showVal val="0"/>
          <c:showCatName val="0"/>
          <c:showSerName val="0"/>
          <c:showPercent val="0"/>
          <c:showBubbleSize val="0"/>
        </c:dLbls>
        <c:marker val="1"/>
        <c:smooth val="0"/>
        <c:axId val="234269696"/>
        <c:axId val="234279680"/>
      </c:lineChart>
      <c:catAx>
        <c:axId val="234269696"/>
        <c:scaling>
          <c:orientation val="maxMin"/>
        </c:scaling>
        <c:delete val="0"/>
        <c:axPos val="b"/>
        <c:numFmt formatCode="General" sourceLinked="1"/>
        <c:majorTickMark val="none"/>
        <c:minorTickMark val="none"/>
        <c:tickLblPos val="nextTo"/>
        <c:crossAx val="234279680"/>
        <c:crosses val="autoZero"/>
        <c:auto val="1"/>
        <c:lblAlgn val="ctr"/>
        <c:lblOffset val="100"/>
        <c:noMultiLvlLbl val="0"/>
      </c:catAx>
      <c:valAx>
        <c:axId val="234279680"/>
        <c:scaling>
          <c:orientation val="minMax"/>
          <c:max val="30"/>
        </c:scaling>
        <c:delete val="0"/>
        <c:axPos val="r"/>
        <c:majorGridlines/>
        <c:title>
          <c:tx>
            <c:rich>
              <a:bodyPr/>
              <a:lstStyle/>
              <a:p>
                <a:pPr>
                  <a:defRPr/>
                </a:pPr>
                <a:r>
                  <a:rPr lang="en-US"/>
                  <a:t>Operating Margin (%)</a:t>
                </a:r>
              </a:p>
            </c:rich>
          </c:tx>
          <c:overlay val="0"/>
        </c:title>
        <c:numFmt formatCode="0" sourceLinked="0"/>
        <c:majorTickMark val="none"/>
        <c:minorTickMark val="none"/>
        <c:tickLblPos val="nextTo"/>
        <c:crossAx val="23426969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sz="1800"/>
            </a:pPr>
            <a:r>
              <a:rPr lang="en-US" sz="1800"/>
              <a:t>Cash Comparison: Rogers and Telus</a:t>
            </a:r>
          </a:p>
        </c:rich>
      </c:tx>
      <c:overlay val="0"/>
    </c:title>
    <c:autoTitleDeleted val="0"/>
    <c:plotArea>
      <c:layout>
        <c:manualLayout>
          <c:layoutTarget val="inner"/>
          <c:xMode val="edge"/>
          <c:yMode val="edge"/>
          <c:x val="4.0293040293040303E-2"/>
          <c:y val="0.18785725313747575"/>
          <c:w val="0.58783738571140032"/>
          <c:h val="0.67739958975716252"/>
        </c:manualLayout>
      </c:layout>
      <c:barChart>
        <c:barDir val="col"/>
        <c:grouping val="clustered"/>
        <c:varyColors val="0"/>
        <c:ser>
          <c:idx val="0"/>
          <c:order val="0"/>
          <c:tx>
            <c:v>Telus</c:v>
          </c:tx>
          <c:invertIfNegative val="0"/>
          <c:cat>
            <c:numRef>
              <c:f>'Ratios Simon'!$E$3:$H$3</c:f>
              <c:numCache>
                <c:formatCode>General</c:formatCode>
                <c:ptCount val="4"/>
                <c:pt idx="0">
                  <c:v>2012</c:v>
                </c:pt>
                <c:pt idx="1">
                  <c:v>2011</c:v>
                </c:pt>
                <c:pt idx="2">
                  <c:v>2010</c:v>
                </c:pt>
                <c:pt idx="3">
                  <c:v>2009</c:v>
                </c:pt>
              </c:numCache>
            </c:numRef>
          </c:cat>
          <c:val>
            <c:numRef>
              <c:f>CF!$C$9:$F$9</c:f>
              <c:numCache>
                <c:formatCode>#,##0.00</c:formatCode>
                <c:ptCount val="4"/>
                <c:pt idx="0">
                  <c:v>3219</c:v>
                </c:pt>
                <c:pt idx="1">
                  <c:v>2550</c:v>
                </c:pt>
                <c:pt idx="2">
                  <c:v>2670</c:v>
                </c:pt>
                <c:pt idx="3">
                  <c:v>2904</c:v>
                </c:pt>
              </c:numCache>
            </c:numRef>
          </c:val>
        </c:ser>
        <c:ser>
          <c:idx val="1"/>
          <c:order val="1"/>
          <c:tx>
            <c:v>Rogers</c:v>
          </c:tx>
          <c:invertIfNegative val="0"/>
          <c:val>
            <c:numRef>
              <c:f>CF!$J$9:$M$9</c:f>
              <c:numCache>
                <c:formatCode>#,##0.00</c:formatCode>
                <c:ptCount val="4"/>
                <c:pt idx="0">
                  <c:v>3421</c:v>
                </c:pt>
                <c:pt idx="1">
                  <c:v>3791</c:v>
                </c:pt>
                <c:pt idx="2">
                  <c:v>3494</c:v>
                </c:pt>
                <c:pt idx="3">
                  <c:v>3790</c:v>
                </c:pt>
              </c:numCache>
            </c:numRef>
          </c:val>
        </c:ser>
        <c:dLbls>
          <c:showLegendKey val="0"/>
          <c:showVal val="0"/>
          <c:showCatName val="0"/>
          <c:showSerName val="0"/>
          <c:showPercent val="0"/>
          <c:showBubbleSize val="0"/>
        </c:dLbls>
        <c:gapWidth val="150"/>
        <c:axId val="234370944"/>
        <c:axId val="234372480"/>
      </c:barChart>
      <c:catAx>
        <c:axId val="234370944"/>
        <c:scaling>
          <c:orientation val="maxMin"/>
        </c:scaling>
        <c:delete val="0"/>
        <c:axPos val="b"/>
        <c:numFmt formatCode="General" sourceLinked="1"/>
        <c:majorTickMark val="none"/>
        <c:minorTickMark val="none"/>
        <c:tickLblPos val="nextTo"/>
        <c:crossAx val="234372480"/>
        <c:crosses val="autoZero"/>
        <c:auto val="1"/>
        <c:lblAlgn val="ctr"/>
        <c:lblOffset val="100"/>
        <c:noMultiLvlLbl val="0"/>
      </c:catAx>
      <c:valAx>
        <c:axId val="234372480"/>
        <c:scaling>
          <c:orientation val="minMax"/>
        </c:scaling>
        <c:delete val="0"/>
        <c:axPos val="r"/>
        <c:majorGridlines/>
        <c:title>
          <c:tx>
            <c:rich>
              <a:bodyPr/>
              <a:lstStyle/>
              <a:p>
                <a:pPr>
                  <a:defRPr/>
                </a:pPr>
                <a:r>
                  <a:rPr lang="en-US"/>
                  <a:t>Cash</a:t>
                </a:r>
                <a:r>
                  <a:rPr lang="en-US" baseline="0"/>
                  <a:t> ($, millions)</a:t>
                </a:r>
                <a:endParaRPr lang="en-US"/>
              </a:p>
            </c:rich>
          </c:tx>
          <c:overlay val="0"/>
        </c:title>
        <c:numFmt formatCode="#,##0" sourceLinked="0"/>
        <c:majorTickMark val="out"/>
        <c:minorTickMark val="none"/>
        <c:tickLblPos val="nextTo"/>
        <c:crossAx val="23437094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a:pPr>
            <a:r>
              <a:rPr lang="en-US"/>
              <a:t>EPS Comparison</a:t>
            </a:r>
          </a:p>
        </c:rich>
      </c:tx>
      <c:overlay val="0"/>
    </c:title>
    <c:autoTitleDeleted val="0"/>
    <c:plotArea>
      <c:layout/>
      <c:lineChart>
        <c:grouping val="standard"/>
        <c:varyColors val="0"/>
        <c:ser>
          <c:idx val="0"/>
          <c:order val="0"/>
          <c:tx>
            <c:v>Telus</c:v>
          </c:tx>
          <c:marker>
            <c:symbol val="none"/>
          </c:marker>
          <c:cat>
            <c:numRef>
              <c:f>'Ratios Simon'!$E$3:$H$3</c:f>
              <c:numCache>
                <c:formatCode>General</c:formatCode>
                <c:ptCount val="4"/>
                <c:pt idx="0">
                  <c:v>2012</c:v>
                </c:pt>
                <c:pt idx="1">
                  <c:v>2011</c:v>
                </c:pt>
                <c:pt idx="2">
                  <c:v>2010</c:v>
                </c:pt>
                <c:pt idx="3">
                  <c:v>2009</c:v>
                </c:pt>
              </c:numCache>
            </c:numRef>
          </c:cat>
          <c:val>
            <c:numRef>
              <c:f>'Ratios Simon'!$E$24:$H$24</c:f>
              <c:numCache>
                <c:formatCode>0.00</c:formatCode>
                <c:ptCount val="4"/>
                <c:pt idx="0">
                  <c:v>2.02</c:v>
                </c:pt>
                <c:pt idx="1">
                  <c:v>1.87</c:v>
                </c:pt>
                <c:pt idx="2">
                  <c:v>1.6300000000000001</c:v>
                </c:pt>
                <c:pt idx="3">
                  <c:v>1.57</c:v>
                </c:pt>
              </c:numCache>
            </c:numRef>
          </c:val>
          <c:smooth val="0"/>
        </c:ser>
        <c:ser>
          <c:idx val="1"/>
          <c:order val="1"/>
          <c:tx>
            <c:v>Rogers</c:v>
          </c:tx>
          <c:marker>
            <c:symbol val="none"/>
          </c:marker>
          <c:val>
            <c:numRef>
              <c:f>'Ratios Simon'!$K$24:$N$24</c:f>
              <c:numCache>
                <c:formatCode>0.00</c:formatCode>
                <c:ptCount val="4"/>
                <c:pt idx="0">
                  <c:v>3.32</c:v>
                </c:pt>
                <c:pt idx="1">
                  <c:v>2.9099999999999997</c:v>
                </c:pt>
                <c:pt idx="2">
                  <c:v>2.59</c:v>
                </c:pt>
                <c:pt idx="3">
                  <c:v>2.38</c:v>
                </c:pt>
              </c:numCache>
            </c:numRef>
          </c:val>
          <c:smooth val="0"/>
        </c:ser>
        <c:dLbls>
          <c:showLegendKey val="0"/>
          <c:showVal val="0"/>
          <c:showCatName val="0"/>
          <c:showSerName val="0"/>
          <c:showPercent val="0"/>
          <c:showBubbleSize val="0"/>
        </c:dLbls>
        <c:hiLowLines/>
        <c:marker val="1"/>
        <c:smooth val="0"/>
        <c:axId val="234394752"/>
        <c:axId val="234396288"/>
      </c:lineChart>
      <c:catAx>
        <c:axId val="234394752"/>
        <c:scaling>
          <c:orientation val="maxMin"/>
        </c:scaling>
        <c:delete val="0"/>
        <c:axPos val="b"/>
        <c:numFmt formatCode="General" sourceLinked="1"/>
        <c:majorTickMark val="none"/>
        <c:minorTickMark val="none"/>
        <c:tickLblPos val="nextTo"/>
        <c:crossAx val="234396288"/>
        <c:crosses val="autoZero"/>
        <c:auto val="1"/>
        <c:lblAlgn val="ctr"/>
        <c:lblOffset val="100"/>
        <c:noMultiLvlLbl val="0"/>
      </c:catAx>
      <c:valAx>
        <c:axId val="234396288"/>
        <c:scaling>
          <c:orientation val="minMax"/>
        </c:scaling>
        <c:delete val="0"/>
        <c:axPos val="r"/>
        <c:majorGridlines/>
        <c:title>
          <c:tx>
            <c:rich>
              <a:bodyPr/>
              <a:lstStyle/>
              <a:p>
                <a:pPr>
                  <a:defRPr/>
                </a:pPr>
                <a:r>
                  <a:rPr lang="en-US"/>
                  <a:t>EPS</a:t>
                </a:r>
              </a:p>
            </c:rich>
          </c:tx>
          <c:overlay val="0"/>
        </c:title>
        <c:numFmt formatCode="0.00" sourceLinked="1"/>
        <c:majorTickMark val="out"/>
        <c:minorTickMark val="none"/>
        <c:tickLblPos val="nextTo"/>
        <c:crossAx val="23439475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a:pPr>
            <a:r>
              <a:rPr lang="en-CA"/>
              <a:t>A. Current ratio</a:t>
            </a:r>
            <a:endParaRPr lang="zh-CN"/>
          </a:p>
        </c:rich>
      </c:tx>
      <c:layout>
        <c:manualLayout>
          <c:xMode val="edge"/>
          <c:yMode val="edge"/>
          <c:x val="0.27472868217054397"/>
          <c:y val="3.9886039886039892E-2"/>
        </c:manualLayout>
      </c:layout>
      <c:overlay val="0"/>
    </c:title>
    <c:autoTitleDeleted val="0"/>
    <c:plotArea>
      <c:layout/>
      <c:lineChart>
        <c:grouping val="standard"/>
        <c:varyColors val="0"/>
        <c:ser>
          <c:idx val="0"/>
          <c:order val="0"/>
          <c:tx>
            <c:strRef>
              <c:f>Ratios!$L$35</c:f>
              <c:strCache>
                <c:ptCount val="1"/>
                <c:pt idx="0">
                  <c:v>Telus</c:v>
                </c:pt>
              </c:strCache>
            </c:strRef>
          </c:tx>
          <c:cat>
            <c:numRef>
              <c:f>Ratios!$M$34:$P$34</c:f>
              <c:numCache>
                <c:formatCode>General</c:formatCode>
                <c:ptCount val="4"/>
                <c:pt idx="0">
                  <c:v>2009</c:v>
                </c:pt>
                <c:pt idx="1">
                  <c:v>2010</c:v>
                </c:pt>
                <c:pt idx="2">
                  <c:v>2011</c:v>
                </c:pt>
                <c:pt idx="3">
                  <c:v>2012</c:v>
                </c:pt>
              </c:numCache>
            </c:numRef>
          </c:cat>
          <c:val>
            <c:numRef>
              <c:f>Ratios!$M$35:$P$35</c:f>
              <c:numCache>
                <c:formatCode>General</c:formatCode>
                <c:ptCount val="4"/>
                <c:pt idx="0" formatCode="0.00">
                  <c:v>0.38000000000000084</c:v>
                </c:pt>
                <c:pt idx="1">
                  <c:v>0.44000000000000006</c:v>
                </c:pt>
                <c:pt idx="2" formatCode="0.00">
                  <c:v>0.53</c:v>
                </c:pt>
                <c:pt idx="3" formatCode="0.00">
                  <c:v>0.63000000000000156</c:v>
                </c:pt>
              </c:numCache>
            </c:numRef>
          </c:val>
          <c:smooth val="0"/>
        </c:ser>
        <c:ser>
          <c:idx val="1"/>
          <c:order val="1"/>
          <c:tx>
            <c:strRef>
              <c:f>Ratios!$L$36</c:f>
              <c:strCache>
                <c:ptCount val="1"/>
                <c:pt idx="0">
                  <c:v>Rogers</c:v>
                </c:pt>
              </c:strCache>
            </c:strRef>
          </c:tx>
          <c:cat>
            <c:numRef>
              <c:f>Ratios!$M$34:$P$34</c:f>
              <c:numCache>
                <c:formatCode>General</c:formatCode>
                <c:ptCount val="4"/>
                <c:pt idx="0">
                  <c:v>2009</c:v>
                </c:pt>
                <c:pt idx="1">
                  <c:v>2010</c:v>
                </c:pt>
                <c:pt idx="2">
                  <c:v>2011</c:v>
                </c:pt>
                <c:pt idx="3">
                  <c:v>2012</c:v>
                </c:pt>
              </c:numCache>
            </c:numRef>
          </c:cat>
          <c:val>
            <c:numRef>
              <c:f>Ratios!$M$36:$P$36</c:f>
              <c:numCache>
                <c:formatCode>General</c:formatCode>
                <c:ptCount val="4"/>
                <c:pt idx="0" formatCode="0.00">
                  <c:v>0.82000000000000062</c:v>
                </c:pt>
                <c:pt idx="1">
                  <c:v>0.62000000000000144</c:v>
                </c:pt>
                <c:pt idx="2" formatCode="0.00">
                  <c:v>0.75000000000000155</c:v>
                </c:pt>
                <c:pt idx="3" formatCode="0.00">
                  <c:v>0.74000000000000143</c:v>
                </c:pt>
              </c:numCache>
            </c:numRef>
          </c:val>
          <c:smooth val="0"/>
        </c:ser>
        <c:dLbls>
          <c:showLegendKey val="0"/>
          <c:showVal val="0"/>
          <c:showCatName val="0"/>
          <c:showSerName val="0"/>
          <c:showPercent val="0"/>
          <c:showBubbleSize val="0"/>
        </c:dLbls>
        <c:marker val="1"/>
        <c:smooth val="0"/>
        <c:axId val="238096384"/>
        <c:axId val="238097920"/>
      </c:lineChart>
      <c:catAx>
        <c:axId val="238096384"/>
        <c:scaling>
          <c:orientation val="minMax"/>
        </c:scaling>
        <c:delete val="0"/>
        <c:axPos val="b"/>
        <c:numFmt formatCode="General" sourceLinked="1"/>
        <c:majorTickMark val="none"/>
        <c:minorTickMark val="none"/>
        <c:tickLblPos val="nextTo"/>
        <c:crossAx val="238097920"/>
        <c:crosses val="autoZero"/>
        <c:auto val="1"/>
        <c:lblAlgn val="ctr"/>
        <c:lblOffset val="100"/>
        <c:noMultiLvlLbl val="0"/>
      </c:catAx>
      <c:valAx>
        <c:axId val="238097920"/>
        <c:scaling>
          <c:orientation val="minMax"/>
        </c:scaling>
        <c:delete val="0"/>
        <c:axPos val="l"/>
        <c:majorGridlines/>
        <c:numFmt formatCode="0.00" sourceLinked="1"/>
        <c:majorTickMark val="none"/>
        <c:minorTickMark val="none"/>
        <c:tickLblPos val="nextTo"/>
        <c:crossAx val="2380963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a:pPr>
            <a:r>
              <a:rPr lang="en-CA"/>
              <a:t>B. Acid-test ratio</a:t>
            </a:r>
            <a:endParaRPr lang="zh-CN"/>
          </a:p>
        </c:rich>
      </c:tx>
      <c:overlay val="0"/>
    </c:title>
    <c:autoTitleDeleted val="0"/>
    <c:plotArea>
      <c:layout/>
      <c:lineChart>
        <c:grouping val="standard"/>
        <c:varyColors val="0"/>
        <c:ser>
          <c:idx val="0"/>
          <c:order val="0"/>
          <c:tx>
            <c:strRef>
              <c:f>Ratios!$L$39</c:f>
              <c:strCache>
                <c:ptCount val="1"/>
                <c:pt idx="0">
                  <c:v>Telus</c:v>
                </c:pt>
              </c:strCache>
            </c:strRef>
          </c:tx>
          <c:cat>
            <c:numRef>
              <c:f>Ratios!$M$38:$P$38</c:f>
              <c:numCache>
                <c:formatCode>General</c:formatCode>
                <c:ptCount val="4"/>
                <c:pt idx="0">
                  <c:v>2009</c:v>
                </c:pt>
                <c:pt idx="1">
                  <c:v>2010</c:v>
                </c:pt>
                <c:pt idx="2">
                  <c:v>2011</c:v>
                </c:pt>
                <c:pt idx="3">
                  <c:v>2012</c:v>
                </c:pt>
              </c:numCache>
            </c:numRef>
          </c:cat>
          <c:val>
            <c:numRef>
              <c:f>Ratios!$M$39:$P$39</c:f>
              <c:numCache>
                <c:formatCode>General</c:formatCode>
                <c:ptCount val="4"/>
                <c:pt idx="0">
                  <c:v>0.25</c:v>
                </c:pt>
                <c:pt idx="1">
                  <c:v>0.34</c:v>
                </c:pt>
                <c:pt idx="2">
                  <c:v>0.4</c:v>
                </c:pt>
                <c:pt idx="3">
                  <c:v>0.48000000000000032</c:v>
                </c:pt>
              </c:numCache>
            </c:numRef>
          </c:val>
          <c:smooth val="0"/>
        </c:ser>
        <c:ser>
          <c:idx val="1"/>
          <c:order val="1"/>
          <c:tx>
            <c:strRef>
              <c:f>Ratios!$L$40</c:f>
              <c:strCache>
                <c:ptCount val="1"/>
                <c:pt idx="0">
                  <c:v>Rogers</c:v>
                </c:pt>
              </c:strCache>
            </c:strRef>
          </c:tx>
          <c:cat>
            <c:numRef>
              <c:f>Ratios!$M$38:$P$38</c:f>
              <c:numCache>
                <c:formatCode>General</c:formatCode>
                <c:ptCount val="4"/>
                <c:pt idx="0">
                  <c:v>2009</c:v>
                </c:pt>
                <c:pt idx="1">
                  <c:v>2010</c:v>
                </c:pt>
                <c:pt idx="2">
                  <c:v>2011</c:v>
                </c:pt>
                <c:pt idx="3">
                  <c:v>2012</c:v>
                </c:pt>
              </c:numCache>
            </c:numRef>
          </c:cat>
          <c:val>
            <c:numRef>
              <c:f>Ratios!$M$40:$P$40</c:f>
              <c:numCache>
                <c:formatCode>General</c:formatCode>
                <c:ptCount val="4"/>
                <c:pt idx="0">
                  <c:v>0.72000000000000064</c:v>
                </c:pt>
                <c:pt idx="1">
                  <c:v>0.52</c:v>
                </c:pt>
                <c:pt idx="2">
                  <c:v>0.63000000000000156</c:v>
                </c:pt>
                <c:pt idx="3">
                  <c:v>0.60000000000000064</c:v>
                </c:pt>
              </c:numCache>
            </c:numRef>
          </c:val>
          <c:smooth val="0"/>
        </c:ser>
        <c:dLbls>
          <c:showLegendKey val="0"/>
          <c:showVal val="0"/>
          <c:showCatName val="0"/>
          <c:showSerName val="0"/>
          <c:showPercent val="0"/>
          <c:showBubbleSize val="0"/>
        </c:dLbls>
        <c:marker val="1"/>
        <c:smooth val="0"/>
        <c:axId val="238153088"/>
        <c:axId val="238163072"/>
      </c:lineChart>
      <c:catAx>
        <c:axId val="238153088"/>
        <c:scaling>
          <c:orientation val="minMax"/>
        </c:scaling>
        <c:delete val="0"/>
        <c:axPos val="b"/>
        <c:numFmt formatCode="General" sourceLinked="1"/>
        <c:majorTickMark val="none"/>
        <c:minorTickMark val="none"/>
        <c:tickLblPos val="nextTo"/>
        <c:crossAx val="238163072"/>
        <c:crosses val="autoZero"/>
        <c:auto val="1"/>
        <c:lblAlgn val="ctr"/>
        <c:lblOffset val="100"/>
        <c:noMultiLvlLbl val="0"/>
      </c:catAx>
      <c:valAx>
        <c:axId val="238163072"/>
        <c:scaling>
          <c:orientation val="minMax"/>
        </c:scaling>
        <c:delete val="0"/>
        <c:axPos val="l"/>
        <c:majorGridlines/>
        <c:numFmt formatCode="General" sourceLinked="1"/>
        <c:majorTickMark val="none"/>
        <c:minorTickMark val="none"/>
        <c:tickLblPos val="nextTo"/>
        <c:crossAx val="2381530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sz="1400"/>
            </a:pPr>
            <a:r>
              <a:rPr lang="en-US" sz="1400"/>
              <a:t>Debt /Equity Ratio</a:t>
            </a:r>
            <a:endParaRPr lang="zh-CN" sz="1400"/>
          </a:p>
        </c:rich>
      </c:tx>
      <c:overlay val="0"/>
    </c:title>
    <c:autoTitleDeleted val="0"/>
    <c:plotArea>
      <c:layout/>
      <c:lineChart>
        <c:grouping val="standard"/>
        <c:varyColors val="0"/>
        <c:ser>
          <c:idx val="0"/>
          <c:order val="0"/>
          <c:tx>
            <c:strRef>
              <c:f>Ratios!$E$35</c:f>
              <c:strCache>
                <c:ptCount val="1"/>
                <c:pt idx="0">
                  <c:v>Telus</c:v>
                </c:pt>
              </c:strCache>
            </c:strRef>
          </c:tx>
          <c:cat>
            <c:numRef>
              <c:f>Ratios!$F$34:$I$34</c:f>
              <c:numCache>
                <c:formatCode>General</c:formatCode>
                <c:ptCount val="4"/>
                <c:pt idx="0">
                  <c:v>2009</c:v>
                </c:pt>
                <c:pt idx="1">
                  <c:v>2010</c:v>
                </c:pt>
                <c:pt idx="2">
                  <c:v>2011</c:v>
                </c:pt>
                <c:pt idx="3">
                  <c:v>2012</c:v>
                </c:pt>
              </c:numCache>
            </c:numRef>
          </c:cat>
          <c:val>
            <c:numRef>
              <c:f>Ratios!$F$35:$I$35</c:f>
              <c:numCache>
                <c:formatCode>0.00</c:formatCode>
                <c:ptCount val="4"/>
                <c:pt idx="0">
                  <c:v>1.54</c:v>
                </c:pt>
                <c:pt idx="1">
                  <c:v>1.53</c:v>
                </c:pt>
                <c:pt idx="2">
                  <c:v>1.6500000000000001</c:v>
                </c:pt>
                <c:pt idx="3">
                  <c:v>1.6600000000000001</c:v>
                </c:pt>
              </c:numCache>
            </c:numRef>
          </c:val>
          <c:smooth val="0"/>
        </c:ser>
        <c:ser>
          <c:idx val="1"/>
          <c:order val="1"/>
          <c:tx>
            <c:strRef>
              <c:f>Ratios!$E$36</c:f>
              <c:strCache>
                <c:ptCount val="1"/>
                <c:pt idx="0">
                  <c:v>Rogers</c:v>
                </c:pt>
              </c:strCache>
            </c:strRef>
          </c:tx>
          <c:cat>
            <c:numRef>
              <c:f>Ratios!$F$34:$I$34</c:f>
              <c:numCache>
                <c:formatCode>General</c:formatCode>
                <c:ptCount val="4"/>
                <c:pt idx="0">
                  <c:v>2009</c:v>
                </c:pt>
                <c:pt idx="1">
                  <c:v>2010</c:v>
                </c:pt>
                <c:pt idx="2">
                  <c:v>2011</c:v>
                </c:pt>
                <c:pt idx="3">
                  <c:v>2012</c:v>
                </c:pt>
              </c:numCache>
            </c:numRef>
          </c:cat>
          <c:val>
            <c:numRef>
              <c:f>Ratios!$F$36:$I$36</c:f>
              <c:numCache>
                <c:formatCode>0.00</c:formatCode>
                <c:ptCount val="4"/>
                <c:pt idx="0">
                  <c:v>2.98</c:v>
                </c:pt>
                <c:pt idx="1">
                  <c:v>3.53</c:v>
                </c:pt>
                <c:pt idx="2">
                  <c:v>4.1399999999999997</c:v>
                </c:pt>
                <c:pt idx="3">
                  <c:v>4.21</c:v>
                </c:pt>
              </c:numCache>
            </c:numRef>
          </c:val>
          <c:smooth val="0"/>
        </c:ser>
        <c:dLbls>
          <c:showLegendKey val="0"/>
          <c:showVal val="0"/>
          <c:showCatName val="0"/>
          <c:showSerName val="0"/>
          <c:showPercent val="0"/>
          <c:showBubbleSize val="0"/>
        </c:dLbls>
        <c:marker val="1"/>
        <c:smooth val="0"/>
        <c:axId val="238173184"/>
        <c:axId val="238179072"/>
      </c:lineChart>
      <c:catAx>
        <c:axId val="238173184"/>
        <c:scaling>
          <c:orientation val="minMax"/>
        </c:scaling>
        <c:delete val="0"/>
        <c:axPos val="b"/>
        <c:numFmt formatCode="General" sourceLinked="1"/>
        <c:majorTickMark val="none"/>
        <c:minorTickMark val="none"/>
        <c:tickLblPos val="nextTo"/>
        <c:crossAx val="238179072"/>
        <c:crosses val="autoZero"/>
        <c:auto val="1"/>
        <c:lblAlgn val="ctr"/>
        <c:lblOffset val="100"/>
        <c:noMultiLvlLbl val="0"/>
      </c:catAx>
      <c:valAx>
        <c:axId val="238179072"/>
        <c:scaling>
          <c:orientation val="minMax"/>
        </c:scaling>
        <c:delete val="0"/>
        <c:axPos val="l"/>
        <c:majorGridlines/>
        <c:numFmt formatCode="0.00" sourceLinked="1"/>
        <c:majorTickMark val="none"/>
        <c:minorTickMark val="none"/>
        <c:tickLblPos val="nextTo"/>
        <c:crossAx val="2381731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sz="1600"/>
            </a:pPr>
            <a:r>
              <a:rPr lang="en-US" sz="1600"/>
              <a:t>Cash flow/debt</a:t>
            </a:r>
            <a:endParaRPr lang="zh-CN" sz="1600"/>
          </a:p>
        </c:rich>
      </c:tx>
      <c:overlay val="0"/>
    </c:title>
    <c:autoTitleDeleted val="0"/>
    <c:plotArea>
      <c:layout/>
      <c:lineChart>
        <c:grouping val="standard"/>
        <c:varyColors val="0"/>
        <c:ser>
          <c:idx val="0"/>
          <c:order val="0"/>
          <c:tx>
            <c:strRef>
              <c:f>Ratios!$H$46</c:f>
              <c:strCache>
                <c:ptCount val="1"/>
                <c:pt idx="0">
                  <c:v>Telus</c:v>
                </c:pt>
              </c:strCache>
            </c:strRef>
          </c:tx>
          <c:cat>
            <c:numRef>
              <c:f>Ratios!$I$45:$L$45</c:f>
              <c:numCache>
                <c:formatCode>General</c:formatCode>
                <c:ptCount val="4"/>
                <c:pt idx="0">
                  <c:v>2009</c:v>
                </c:pt>
                <c:pt idx="1">
                  <c:v>2010</c:v>
                </c:pt>
                <c:pt idx="2">
                  <c:v>2011</c:v>
                </c:pt>
                <c:pt idx="3">
                  <c:v>2012</c:v>
                </c:pt>
              </c:numCache>
            </c:numRef>
          </c:cat>
          <c:val>
            <c:numRef>
              <c:f>Ratios!$I$46:$L$46</c:f>
              <c:numCache>
                <c:formatCode>General</c:formatCode>
                <c:ptCount val="4"/>
                <c:pt idx="0">
                  <c:v>0.47000000000000008</c:v>
                </c:pt>
                <c:pt idx="1">
                  <c:v>0.41000000000000031</c:v>
                </c:pt>
                <c:pt idx="2">
                  <c:v>0.37000000000000038</c:v>
                </c:pt>
                <c:pt idx="3" formatCode="0.00">
                  <c:v>0.48000000000000032</c:v>
                </c:pt>
              </c:numCache>
            </c:numRef>
          </c:val>
          <c:smooth val="0"/>
        </c:ser>
        <c:ser>
          <c:idx val="1"/>
          <c:order val="1"/>
          <c:tx>
            <c:strRef>
              <c:f>Ratios!$H$47</c:f>
              <c:strCache>
                <c:ptCount val="1"/>
                <c:pt idx="0">
                  <c:v>Rogers</c:v>
                </c:pt>
              </c:strCache>
            </c:strRef>
          </c:tx>
          <c:cat>
            <c:numRef>
              <c:f>Ratios!$I$45:$L$45</c:f>
              <c:numCache>
                <c:formatCode>General</c:formatCode>
                <c:ptCount val="4"/>
                <c:pt idx="0">
                  <c:v>2009</c:v>
                </c:pt>
                <c:pt idx="1">
                  <c:v>2010</c:v>
                </c:pt>
                <c:pt idx="2">
                  <c:v>2011</c:v>
                </c:pt>
                <c:pt idx="3">
                  <c:v>2012</c:v>
                </c:pt>
              </c:numCache>
            </c:numRef>
          </c:cat>
          <c:val>
            <c:numRef>
              <c:f>Ratios!$I$47:$L$47</c:f>
              <c:numCache>
                <c:formatCode>General</c:formatCode>
                <c:ptCount val="4"/>
                <c:pt idx="0">
                  <c:v>0.45</c:v>
                </c:pt>
                <c:pt idx="1">
                  <c:v>0.4</c:v>
                </c:pt>
                <c:pt idx="2">
                  <c:v>0.38000000000000106</c:v>
                </c:pt>
                <c:pt idx="3" formatCode="0.00">
                  <c:v>0.32000000000000106</c:v>
                </c:pt>
              </c:numCache>
            </c:numRef>
          </c:val>
          <c:smooth val="0"/>
        </c:ser>
        <c:dLbls>
          <c:showLegendKey val="0"/>
          <c:showVal val="0"/>
          <c:showCatName val="0"/>
          <c:showSerName val="0"/>
          <c:showPercent val="0"/>
          <c:showBubbleSize val="0"/>
        </c:dLbls>
        <c:marker val="1"/>
        <c:smooth val="0"/>
        <c:axId val="238193280"/>
        <c:axId val="238207360"/>
      </c:lineChart>
      <c:catAx>
        <c:axId val="238193280"/>
        <c:scaling>
          <c:orientation val="minMax"/>
        </c:scaling>
        <c:delete val="0"/>
        <c:axPos val="b"/>
        <c:numFmt formatCode="General" sourceLinked="1"/>
        <c:majorTickMark val="none"/>
        <c:minorTickMark val="none"/>
        <c:tickLblPos val="nextTo"/>
        <c:crossAx val="238207360"/>
        <c:crosses val="autoZero"/>
        <c:auto val="1"/>
        <c:lblAlgn val="ctr"/>
        <c:lblOffset val="100"/>
        <c:noMultiLvlLbl val="0"/>
      </c:catAx>
      <c:valAx>
        <c:axId val="238207360"/>
        <c:scaling>
          <c:orientation val="minMax"/>
        </c:scaling>
        <c:delete val="0"/>
        <c:axPos val="l"/>
        <c:majorGridlines/>
        <c:numFmt formatCode="General" sourceLinked="1"/>
        <c:majorTickMark val="none"/>
        <c:minorTickMark val="none"/>
        <c:tickLblPos val="nextTo"/>
        <c:crossAx val="2381932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a:pPr>
            <a:r>
              <a:rPr lang="en-US"/>
              <a:t>Comparison of Dividends per Share - Common Stock Primary Issue</a:t>
            </a:r>
          </a:p>
        </c:rich>
      </c:tx>
      <c:overlay val="0"/>
    </c:title>
    <c:autoTitleDeleted val="0"/>
    <c:plotArea>
      <c:layout/>
      <c:lineChart>
        <c:grouping val="standard"/>
        <c:varyColors val="0"/>
        <c:ser>
          <c:idx val="0"/>
          <c:order val="0"/>
          <c:tx>
            <c:v>Telus</c:v>
          </c:tx>
          <c:marker>
            <c:symbol val="none"/>
          </c:marker>
          <c:cat>
            <c:numRef>
              <c:f>'Ratios Simon'!$E$3:$H$3</c:f>
              <c:numCache>
                <c:formatCode>General</c:formatCode>
                <c:ptCount val="4"/>
                <c:pt idx="0">
                  <c:v>2012</c:v>
                </c:pt>
                <c:pt idx="1">
                  <c:v>2011</c:v>
                </c:pt>
                <c:pt idx="2">
                  <c:v>2010</c:v>
                </c:pt>
                <c:pt idx="3">
                  <c:v>2009</c:v>
                </c:pt>
              </c:numCache>
            </c:numRef>
          </c:cat>
          <c:val>
            <c:numRef>
              <c:f>IS!$C$42:$F$42</c:f>
              <c:numCache>
                <c:formatCode>General</c:formatCode>
                <c:ptCount val="4"/>
                <c:pt idx="0">
                  <c:v>1.22</c:v>
                </c:pt>
                <c:pt idx="1">
                  <c:v>1.1000000000000001</c:v>
                </c:pt>
                <c:pt idx="2">
                  <c:v>1</c:v>
                </c:pt>
                <c:pt idx="3">
                  <c:v>0.95000000000000029</c:v>
                </c:pt>
              </c:numCache>
            </c:numRef>
          </c:val>
          <c:smooth val="0"/>
        </c:ser>
        <c:ser>
          <c:idx val="1"/>
          <c:order val="1"/>
          <c:tx>
            <c:v>Rogers</c:v>
          </c:tx>
          <c:marker>
            <c:symbol val="none"/>
          </c:marker>
          <c:val>
            <c:numRef>
              <c:f>IS!$J$42:$M$42</c:f>
              <c:numCache>
                <c:formatCode>General</c:formatCode>
                <c:ptCount val="4"/>
                <c:pt idx="0">
                  <c:v>1.58</c:v>
                </c:pt>
                <c:pt idx="1">
                  <c:v>1.42</c:v>
                </c:pt>
                <c:pt idx="2">
                  <c:v>1.28</c:v>
                </c:pt>
                <c:pt idx="3">
                  <c:v>1.1599999999999993</c:v>
                </c:pt>
              </c:numCache>
            </c:numRef>
          </c:val>
          <c:smooth val="0"/>
        </c:ser>
        <c:dLbls>
          <c:showLegendKey val="0"/>
          <c:showVal val="0"/>
          <c:showCatName val="0"/>
          <c:showSerName val="0"/>
          <c:showPercent val="0"/>
          <c:showBubbleSize val="0"/>
        </c:dLbls>
        <c:hiLowLines/>
        <c:marker val="1"/>
        <c:smooth val="0"/>
        <c:axId val="238221952"/>
        <c:axId val="239608192"/>
      </c:lineChart>
      <c:catAx>
        <c:axId val="238221952"/>
        <c:scaling>
          <c:orientation val="maxMin"/>
        </c:scaling>
        <c:delete val="0"/>
        <c:axPos val="b"/>
        <c:numFmt formatCode="General" sourceLinked="1"/>
        <c:majorTickMark val="none"/>
        <c:minorTickMark val="none"/>
        <c:tickLblPos val="nextTo"/>
        <c:crossAx val="239608192"/>
        <c:crosses val="autoZero"/>
        <c:auto val="1"/>
        <c:lblAlgn val="ctr"/>
        <c:lblOffset val="100"/>
        <c:noMultiLvlLbl val="0"/>
      </c:catAx>
      <c:valAx>
        <c:axId val="239608192"/>
        <c:scaling>
          <c:orientation val="minMax"/>
        </c:scaling>
        <c:delete val="0"/>
        <c:axPos val="r"/>
        <c:majorGridlines/>
        <c:title>
          <c:tx>
            <c:rich>
              <a:bodyPr/>
              <a:lstStyle/>
              <a:p>
                <a:pPr>
                  <a:defRPr/>
                </a:pPr>
                <a:r>
                  <a:rPr lang="en-US"/>
                  <a:t>Divident</a:t>
                </a:r>
                <a:r>
                  <a:rPr lang="en-US" baseline="0"/>
                  <a:t> per Share ($)</a:t>
                </a:r>
                <a:endParaRPr lang="en-US"/>
              </a:p>
            </c:rich>
          </c:tx>
          <c:overlay val="0"/>
        </c:title>
        <c:numFmt formatCode="General" sourceLinked="1"/>
        <c:majorTickMark val="out"/>
        <c:minorTickMark val="none"/>
        <c:tickLblPos val="nextTo"/>
        <c:crossAx val="2382219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FF7C31-BE8E-4044-B2B4-25DBB3E0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4486</Words>
  <Characters>25573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A Financial and Competitive Analysis of Rogers Communications Inc and Telus Corporation</vt:lpstr>
    </vt:vector>
  </TitlesOfParts>
  <Company>Simon Foucher                                                                                                       Wenfeng Hu                                                                                                               Myriam Lévesque                                                                                                                  Adilson Somensari                                                                                                            Jonathan Suprovici</Company>
  <LinksUpToDate>false</LinksUpToDate>
  <CharactersWithSpaces>30000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Financial and Competitive Analysis of Rogers Communications Inc and Telus Corporation</dc:title>
  <dc:subject>MBA 607: Financial Accounting                                                                                                     Instructor: Jonathan Schacter, CPA, CA</dc:subject>
  <dc:creator>IC Axon</dc:creator>
  <cp:lastModifiedBy>pc</cp:lastModifiedBy>
  <cp:revision>8</cp:revision>
  <dcterms:created xsi:type="dcterms:W3CDTF">2013-12-10T01:17:00Z</dcterms:created>
  <dcterms:modified xsi:type="dcterms:W3CDTF">2013-12-11T14:42:00Z</dcterms:modified>
</cp:coreProperties>
</file>