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BB" w:rsidRDefault="001C2DBB" w:rsidP="001C2DBB">
      <w:pPr>
        <w:pStyle w:val="NormalWeb"/>
        <w:spacing w:before="0" w:beforeAutospacing="0" w:after="0" w:afterAutospacing="0"/>
      </w:pPr>
    </w:p>
    <w:p w:rsidR="00AB1231" w:rsidRDefault="00AB1231" w:rsidP="00AB1231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Profitability </w:t>
      </w:r>
    </w:p>
    <w:p w:rsidR="00AB1231" w:rsidRDefault="00AB1231" w:rsidP="00AB1231">
      <w:pPr>
        <w:pStyle w:val="NormalWeb"/>
        <w:spacing w:before="0" w:beforeAutospacing="0" w:after="0" w:afterAutospacing="0"/>
      </w:pPr>
    </w:p>
    <w:p w:rsidR="001C2DBB" w:rsidRDefault="001C2DBB" w:rsidP="001C2DBB">
      <w:pPr>
        <w:pStyle w:val="NormalWeb"/>
        <w:spacing w:before="0" w:beforeAutospacing="0" w:after="0" w:afterAutospacing="0"/>
      </w:pPr>
    </w:p>
    <w:p w:rsidR="001C2DBB" w:rsidRDefault="0013225C" w:rsidP="001C2DBB">
      <w:pPr>
        <w:pStyle w:val="NormalWeb"/>
        <w:spacing w:before="0" w:beforeAutospacing="0" w:after="0" w:afterAutospacing="0"/>
      </w:pPr>
      <w:r>
        <w:t xml:space="preserve">In terms of profitability, both companies are generating positive returns, but Telus has been a better performer both in terms of gross margins and operating margins. </w:t>
      </w:r>
    </w:p>
    <w:p w:rsidR="00AF3076" w:rsidRDefault="00AF3076" w:rsidP="001C2DBB">
      <w:pPr>
        <w:pStyle w:val="NormalWeb"/>
        <w:spacing w:before="0" w:beforeAutospacing="0" w:after="0" w:afterAutospacing="0"/>
      </w:pPr>
    </w:p>
    <w:p w:rsidR="00AB1231" w:rsidRDefault="0013225C" w:rsidP="001C2DBB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345F6733" wp14:editId="4B06EC83">
            <wp:extent cx="3000375" cy="274320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8F0DD4" wp14:editId="0BBBAA01">
            <wp:extent cx="2847975" cy="274320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1231" w:rsidRDefault="0013225C" w:rsidP="0013225C">
      <w:pPr>
        <w:pStyle w:val="Caption"/>
      </w:pPr>
      <w:r>
        <w:t xml:space="preserve">Figure </w:t>
      </w:r>
      <w:fldSimple w:instr=" SEQ Figure \* ARABIC ">
        <w:r w:rsidR="00E370EE">
          <w:rPr>
            <w:noProof/>
          </w:rPr>
          <w:t>1</w:t>
        </w:r>
      </w:fldSimple>
      <w:r>
        <w:t>: On the left Telus have superior Gross margins than Rogers. This is also reflected on the operating margins, on the right graph.</w:t>
      </w:r>
    </w:p>
    <w:p w:rsidR="0013225C" w:rsidRDefault="00AF3076" w:rsidP="0013225C">
      <w:r>
        <w:t xml:space="preserve">Observing the gross margins, we can also observe a decrease in the </w:t>
      </w:r>
      <w:r w:rsidR="002856A3">
        <w:t xml:space="preserve">recent years, which reflects the increase in competition in this Oligopoly industry. With the Canadian federal government pushing towards more competition in </w:t>
      </w:r>
      <w:proofErr w:type="spellStart"/>
      <w:r w:rsidR="002856A3">
        <w:t>Telcos</w:t>
      </w:r>
      <w:proofErr w:type="spellEnd"/>
      <w:r w:rsidR="002856A3">
        <w:t>, we can potentially expect margins to further be reduced in the next few years, but this should affect the market as a whole and not one company in particular.</w:t>
      </w:r>
    </w:p>
    <w:p w:rsidR="00E370EE" w:rsidRDefault="00E370EE" w:rsidP="0013225C">
      <w:r>
        <w:t>This downwards trend is also observable in the Cash Realization Ratios. Both companies have seen reduced CRR over the past few years, with Telus over performing Rogers:</w:t>
      </w:r>
    </w:p>
    <w:p w:rsidR="00E370EE" w:rsidRDefault="00D067BD" w:rsidP="0013225C">
      <w:r>
        <w:rPr>
          <w:noProof/>
        </w:rPr>
        <w:lastRenderedPageBreak/>
        <w:drawing>
          <wp:inline distT="0" distB="0" distL="0" distR="0" wp14:anchorId="4F4B5AC8" wp14:editId="18E68399">
            <wp:extent cx="4762500" cy="27432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70EE" w:rsidRDefault="00E370EE" w:rsidP="00E370E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 Cash Realization Ratios (CRR) has also been decreasing these past few years, Telus outperforming Rogers.</w:t>
      </w:r>
      <w:r w:rsidR="00D067BD">
        <w:t xml:space="preserve"> We can also observe that Rogers has been generating more cash from Operations that Telus.</w:t>
      </w:r>
    </w:p>
    <w:p w:rsidR="002856A3" w:rsidRDefault="00D067BD" w:rsidP="00D067BD">
      <w:r>
        <w:t xml:space="preserve">Yet even though Rogers’s CRR is lower, this is not due to lower cash from Operations, but rather from a higher Net Income. Roger’s cash generation from Operations is constantly superior to that of Telus, which is a positive thing. Furthermore, </w:t>
      </w:r>
      <w:r w:rsidR="002856A3">
        <w:t xml:space="preserve">Rogers </w:t>
      </w:r>
      <w:r>
        <w:t>also</w:t>
      </w:r>
      <w:r w:rsidR="002856A3">
        <w:t xml:space="preserve"> outperform</w:t>
      </w:r>
      <w:r>
        <w:t>s</w:t>
      </w:r>
      <w:r w:rsidR="002856A3">
        <w:t xml:space="preserve"> Telus in terms of Earnings </w:t>
      </w:r>
      <w:proofErr w:type="gramStart"/>
      <w:r w:rsidR="002856A3">
        <w:t>Per</w:t>
      </w:r>
      <w:proofErr w:type="gramEnd"/>
      <w:r w:rsidR="002856A3">
        <w:t xml:space="preserve"> Shares:</w:t>
      </w:r>
    </w:p>
    <w:p w:rsidR="002856A3" w:rsidRDefault="002856A3" w:rsidP="0013225C">
      <w:bookmarkStart w:id="0" w:name="_GoBack"/>
      <w:r>
        <w:rPr>
          <w:noProof/>
        </w:rPr>
        <w:drawing>
          <wp:inline distT="0" distB="0" distL="0" distR="0" wp14:anchorId="7570840E" wp14:editId="6F29EC3B">
            <wp:extent cx="5991225" cy="214312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2856A3" w:rsidRDefault="002856A3" w:rsidP="002856A3">
      <w:pPr>
        <w:pStyle w:val="Caption"/>
      </w:pPr>
      <w:r>
        <w:t xml:space="preserve">Figure </w:t>
      </w:r>
      <w:fldSimple w:instr=" SEQ Figure \* ARABIC ">
        <w:r w:rsidR="00E370EE">
          <w:rPr>
            <w:noProof/>
          </w:rPr>
          <w:t>3</w:t>
        </w:r>
      </w:fldSimple>
      <w:r>
        <w:t>: Rogers outperforms Telus in EPS value and growth.</w:t>
      </w:r>
    </w:p>
    <w:p w:rsidR="0013225C" w:rsidRDefault="002856A3" w:rsidP="0013225C">
      <w:r>
        <w:t>Not only is Rogers above Telus in net value of EPS, but t</w:t>
      </w:r>
      <w:r w:rsidR="00E370EE">
        <w:t>he average growth in EPS for Rogers has been 12%, while only 8% for Telus.</w:t>
      </w:r>
    </w:p>
    <w:p w:rsidR="00E370EE" w:rsidRDefault="00E370EE" w:rsidP="0013225C"/>
    <w:p w:rsidR="00D067BD" w:rsidRDefault="00D067BD" w:rsidP="0013225C">
      <w:r>
        <w:t xml:space="preserve">Overall, even though Telus is running more profitable operations, Rogers has been able to outperform Telus with more cash generated from Operations, better EPS and a stronger EPS growth. Their lower profitability could be caused to more investments in technology which is a crucial component of a Telco company. From an investor’s perspective, the earnings generated per share </w:t>
      </w:r>
      <w:proofErr w:type="gramStart"/>
      <w:r>
        <w:t>is</w:t>
      </w:r>
      <w:proofErr w:type="gramEnd"/>
      <w:r>
        <w:t xml:space="preserve"> more important than </w:t>
      </w:r>
      <w:r>
        <w:lastRenderedPageBreak/>
        <w:t>gross margins, as long as it seems sustainable. This seems to be the case for Rogers, therefore even though Telus has better margins, Rogers is a better investment in terms of earnings, earnings growth and future growth potential.</w:t>
      </w:r>
    </w:p>
    <w:p w:rsidR="00D067BD" w:rsidRPr="0013225C" w:rsidRDefault="00D067BD" w:rsidP="0013225C"/>
    <w:p w:rsidR="0013225C" w:rsidRDefault="0013225C" w:rsidP="001C2DBB">
      <w:pPr>
        <w:pStyle w:val="NormalWeb"/>
        <w:spacing w:before="0" w:beforeAutospacing="0" w:after="0" w:afterAutospacing="0"/>
      </w:pPr>
    </w:p>
    <w:p w:rsidR="0013225C" w:rsidRDefault="0013225C" w:rsidP="001C2DBB">
      <w:pPr>
        <w:pStyle w:val="NormalWeb"/>
        <w:spacing w:before="0" w:beforeAutospacing="0" w:after="0" w:afterAutospacing="0"/>
      </w:pPr>
    </w:p>
    <w:p w:rsidR="001C2DBB" w:rsidRDefault="001C2DBB" w:rsidP="001C2DBB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Dividend Policies (½ page) - </w:t>
      </w:r>
      <w:r w:rsidR="00F21376">
        <w:rPr>
          <w:b/>
          <w:bCs/>
          <w:color w:val="000000"/>
        </w:rPr>
        <w:t>Simon</w:t>
      </w:r>
    </w:p>
    <w:p w:rsidR="00892531" w:rsidRDefault="00892531"/>
    <w:p w:rsidR="00171996" w:rsidRDefault="00892531">
      <w:r>
        <w:t xml:space="preserve">Both Rogers and Telus have been consistently paying dividends for a few years. There has been a shift in Roger’s dividend policy </w:t>
      </w:r>
      <w:r w:rsidR="00171996">
        <w:t>back in 2007/2008 when the company increased its dividend per share by a factor of 3 digit growth. Following this initial growth, dividend increases have been roughly equal for both companies, at roughly 10-11% annual growth since 2010.</w:t>
      </w:r>
    </w:p>
    <w:p w:rsidR="00171996" w:rsidRDefault="00A03555">
      <w:r>
        <w:rPr>
          <w:noProof/>
        </w:rPr>
        <w:drawing>
          <wp:inline distT="0" distB="0" distL="0" distR="0" wp14:anchorId="5052BCD5" wp14:editId="0BCDE6B2">
            <wp:extent cx="3019425" cy="21431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71996">
        <w:t xml:space="preserve"> </w:t>
      </w:r>
      <w:r>
        <w:rPr>
          <w:noProof/>
        </w:rPr>
        <w:drawing>
          <wp:inline distT="0" distB="0" distL="0" distR="0" wp14:anchorId="71FF9F2E" wp14:editId="768AA6C9">
            <wp:extent cx="2867025" cy="214312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4B2A" w:rsidRDefault="00171996" w:rsidP="00171996">
      <w:pPr>
        <w:pStyle w:val="Caption"/>
      </w:pPr>
      <w:r>
        <w:t xml:space="preserve">Figure </w:t>
      </w:r>
      <w:fldSimple w:instr=" SEQ Figure \* ARABIC ">
        <w:r w:rsidR="00E370EE">
          <w:rPr>
            <w:noProof/>
          </w:rPr>
          <w:t>4</w:t>
        </w:r>
      </w:fldSimple>
      <w:r>
        <w:t xml:space="preserve">: On the left we can observe that following Roger’s change in policy, dividend per share of both companies have been raising constantly. On the right, we can see that </w:t>
      </w:r>
      <w:r w:rsidR="00864B2A">
        <w:t>following Roger’s triple digit dividend growth in 2007/2008, dividend growth for both companies have been stable at ~10% annually.</w:t>
      </w:r>
    </w:p>
    <w:p w:rsidR="00864B2A" w:rsidRDefault="00864B2A" w:rsidP="00171996">
      <w:pPr>
        <w:pStyle w:val="Caption"/>
      </w:pPr>
    </w:p>
    <w:p w:rsidR="00F1544D" w:rsidRDefault="00F1544D" w:rsidP="00900C10">
      <w:r>
        <w:t>In terms of yield, since January 2012, both companies have been sharing an almost identical path ranging between roughly 3.5% and 4.5%.</w:t>
      </w:r>
    </w:p>
    <w:p w:rsidR="00F1544D" w:rsidRDefault="00F1544D" w:rsidP="00900C10">
      <w:r>
        <w:rPr>
          <w:noProof/>
        </w:rPr>
        <w:lastRenderedPageBreak/>
        <w:drawing>
          <wp:inline distT="0" distB="0" distL="0" distR="0" wp14:anchorId="4F94AC5A" wp14:editId="1140C9DC">
            <wp:extent cx="5943600" cy="24949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31" w:rsidRDefault="00AB1231" w:rsidP="00AB1231">
      <w:pPr>
        <w:pStyle w:val="Caption"/>
      </w:pPr>
      <w:r>
        <w:t xml:space="preserve">Figure </w:t>
      </w:r>
      <w:fldSimple w:instr=" SEQ Figure \* ARABIC ">
        <w:r w:rsidR="00E370EE">
          <w:rPr>
            <w:noProof/>
          </w:rPr>
          <w:t>5</w:t>
        </w:r>
      </w:fldSimple>
      <w:r>
        <w:t>: Historical divided yield. Since early 2012, Telus has been lagging behind Rogers, but since Telus’ summer split, both stock’s yields have been roughly at par.</w:t>
      </w:r>
    </w:p>
    <w:p w:rsidR="00F1544D" w:rsidRDefault="00F1544D" w:rsidP="00F1544D">
      <w:r>
        <w:t xml:space="preserve">Since both stocks have similar dividend yield and growth, other factors will need consideration to make a recommendation. </w:t>
      </w:r>
    </w:p>
    <w:p w:rsidR="00F1544D" w:rsidRDefault="00F1544D" w:rsidP="00F1544D">
      <w:r>
        <w:t xml:space="preserve">There has been a </w:t>
      </w:r>
      <w:r w:rsidRPr="00892531">
        <w:t>2-for-1 stock split effective April 16, 2013</w:t>
      </w:r>
      <w:r>
        <w:t xml:space="preserve"> for Telus Shares. Although stock </w:t>
      </w:r>
      <w:r w:rsidR="00F21376">
        <w:t>split does</w:t>
      </w:r>
      <w:r>
        <w:t xml:space="preserve"> not bare any impacts on a company’s financial performance, they are typically followed by an i</w:t>
      </w:r>
      <w:r w:rsidR="00AB1231">
        <w:t xml:space="preserve">ncrease in share price, which results in a reduced yield. This potentially explains the dip in Telus yield observed in summer 2013, and therefore a safe assumption is that the market has already adjusted itself to this new information. </w:t>
      </w:r>
    </w:p>
    <w:p w:rsidR="0043091F" w:rsidRDefault="00F1544D" w:rsidP="00F1544D">
      <w:r>
        <w:t xml:space="preserve">In 2012, Rogers in its annual report reported a little over 2 billion dollars in free cash flows, demonstrating a gain of 8% over previous year, whereas Telus reported 1.3 billion dollars in FCF, which represents a 34% YOY growth. Based on these numbers, both companies seem to be generating sufficient cash in order to maintain their dividends, </w:t>
      </w:r>
      <w:r w:rsidR="00F21376">
        <w:t>but</w:t>
      </w:r>
      <w:r>
        <w:t xml:space="preserve"> Rogers, even though showing lower FCF growth, has more cash available to increase dividends.</w:t>
      </w:r>
      <w:r w:rsidR="0043091F">
        <w:t xml:space="preserve"> Also, Telus has had a payout ratio of roughly 60%, whereas Rogers has kept its payout ratio at roughly 50%. With a lower payout ratio, a higher net income and higher FCF, Roger’s financial position is much more likely to be able to support an increase in dividends than that of Telus.</w:t>
      </w:r>
    </w:p>
    <w:p w:rsidR="00F1544D" w:rsidRDefault="0043091F" w:rsidP="00F1544D">
      <w:r>
        <w:rPr>
          <w:noProof/>
        </w:rPr>
        <w:lastRenderedPageBreak/>
        <w:drawing>
          <wp:inline distT="0" distB="0" distL="0" distR="0" wp14:anchorId="50E727A1" wp14:editId="3E485285">
            <wp:extent cx="561975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t xml:space="preserve"> </w:t>
      </w:r>
    </w:p>
    <w:p w:rsidR="00F21376" w:rsidRDefault="0043091F" w:rsidP="0043091F">
      <w:pPr>
        <w:pStyle w:val="Caption"/>
      </w:pPr>
      <w:r>
        <w:t xml:space="preserve">Figure </w:t>
      </w:r>
      <w:fldSimple w:instr=" SEQ Figure \* ARABIC ">
        <w:r w:rsidR="00E370EE">
          <w:rPr>
            <w:noProof/>
          </w:rPr>
          <w:t>6</w:t>
        </w:r>
      </w:fldSimple>
      <w:r>
        <w:t>: Rogers Payout ratio is ~50%, while that of Telus is ~60%. Not only does Rogers have a smaller payout ratio, but it also has a higher net income, therefore potentially more capability to raise its payout ratio and thereby increasing dividends.</w:t>
      </w:r>
    </w:p>
    <w:p w:rsidR="00F21376" w:rsidRDefault="00F21376" w:rsidP="00F1544D"/>
    <w:p w:rsidR="00F1544D" w:rsidRDefault="00AB1231" w:rsidP="00F1544D">
      <w:r>
        <w:t>Base on the above analysis, from a dividend’s perspective, Rogers seems like a safer alternative than Telus</w:t>
      </w:r>
      <w:r w:rsidR="0043091F">
        <w:t xml:space="preserve">. Rogers </w:t>
      </w:r>
      <w:r>
        <w:t xml:space="preserve">have historically demonstrated </w:t>
      </w:r>
      <w:r w:rsidR="0043091F">
        <w:t>a</w:t>
      </w:r>
      <w:r>
        <w:t xml:space="preserve"> will to improve dividend payments (with the massive increases of 2007/8), </w:t>
      </w:r>
      <w:r w:rsidR="0043091F">
        <w:t>its</w:t>
      </w:r>
      <w:r>
        <w:t xml:space="preserve"> operations </w:t>
      </w:r>
      <w:r w:rsidR="0043091F">
        <w:t>generate</w:t>
      </w:r>
      <w:r>
        <w:t xml:space="preserve"> more cash </w:t>
      </w:r>
      <w:r w:rsidR="0043091F">
        <w:t>than Telus and their payout ratio is 10% lower, therefore Rogers is in a better position to potentially increase its dividend payment in the future than Telus.</w:t>
      </w:r>
    </w:p>
    <w:p w:rsidR="00F1544D" w:rsidRDefault="00F1544D" w:rsidP="00900C10"/>
    <w:p w:rsidR="00900C10" w:rsidRPr="00900C10" w:rsidRDefault="00900C10" w:rsidP="00900C10">
      <w:r>
        <w:t xml:space="preserve">  </w:t>
      </w:r>
    </w:p>
    <w:p w:rsidR="004518BB" w:rsidRDefault="004518BB">
      <w:pPr>
        <w:rPr>
          <w:rFonts w:asciiTheme="majorHAnsi" w:eastAsiaTheme="majorEastAsia" w:hAnsiTheme="majorHAnsi" w:cstheme="majorBidi"/>
          <w:caps/>
          <w:spacing w:val="5"/>
          <w:sz w:val="52"/>
          <w:szCs w:val="52"/>
        </w:rPr>
      </w:pPr>
    </w:p>
    <w:sectPr w:rsidR="0045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60AD"/>
    <w:multiLevelType w:val="hybridMultilevel"/>
    <w:tmpl w:val="2494CF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05"/>
    <w:rsid w:val="000F3DFB"/>
    <w:rsid w:val="0013225C"/>
    <w:rsid w:val="00134BA4"/>
    <w:rsid w:val="00171996"/>
    <w:rsid w:val="001A0A05"/>
    <w:rsid w:val="001C2DBB"/>
    <w:rsid w:val="002856A3"/>
    <w:rsid w:val="0036395A"/>
    <w:rsid w:val="0043091F"/>
    <w:rsid w:val="004518BB"/>
    <w:rsid w:val="00697A27"/>
    <w:rsid w:val="00864B2A"/>
    <w:rsid w:val="00892531"/>
    <w:rsid w:val="00900C10"/>
    <w:rsid w:val="009F3BC8"/>
    <w:rsid w:val="00A03555"/>
    <w:rsid w:val="00AB1231"/>
    <w:rsid w:val="00AF2499"/>
    <w:rsid w:val="00AF3076"/>
    <w:rsid w:val="00B0465B"/>
    <w:rsid w:val="00B235B9"/>
    <w:rsid w:val="00C874FC"/>
    <w:rsid w:val="00D067BD"/>
    <w:rsid w:val="00DC74AF"/>
    <w:rsid w:val="00E370EE"/>
    <w:rsid w:val="00F1544D"/>
    <w:rsid w:val="00F21376"/>
    <w:rsid w:val="00F41A32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32"/>
  </w:style>
  <w:style w:type="paragraph" w:styleId="Heading1">
    <w:name w:val="heading 1"/>
    <w:basedOn w:val="Normal"/>
    <w:next w:val="Normal"/>
    <w:link w:val="Heading1Char"/>
    <w:uiPriority w:val="9"/>
    <w:qFormat/>
    <w:rsid w:val="00F41A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41A32"/>
    <w:pPr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A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A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A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A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A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A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A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A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1A32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1A32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41A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caps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1A32"/>
    <w:rPr>
      <w:rFonts w:asciiTheme="majorHAnsi" w:eastAsiaTheme="majorEastAsia" w:hAnsiTheme="majorHAnsi" w:cstheme="majorBidi"/>
      <w:caps/>
      <w:spacing w:val="5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A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A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A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A3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A3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A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A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A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41A32"/>
    <w:rPr>
      <w:b/>
      <w:bCs/>
    </w:rPr>
  </w:style>
  <w:style w:type="character" w:styleId="Emphasis">
    <w:name w:val="Emphasis"/>
    <w:uiPriority w:val="20"/>
    <w:qFormat/>
    <w:rsid w:val="00F41A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41A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1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1A3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1A3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A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A32"/>
    <w:rPr>
      <w:b/>
      <w:bCs/>
      <w:i/>
      <w:iCs/>
    </w:rPr>
  </w:style>
  <w:style w:type="character" w:styleId="SubtleEmphasis">
    <w:name w:val="Subtle Emphasis"/>
    <w:uiPriority w:val="19"/>
    <w:qFormat/>
    <w:rsid w:val="00F41A32"/>
    <w:rPr>
      <w:i/>
      <w:iCs/>
    </w:rPr>
  </w:style>
  <w:style w:type="character" w:styleId="IntenseEmphasis">
    <w:name w:val="Intense Emphasis"/>
    <w:uiPriority w:val="21"/>
    <w:qFormat/>
    <w:rsid w:val="00F41A32"/>
    <w:rPr>
      <w:b/>
      <w:bCs/>
    </w:rPr>
  </w:style>
  <w:style w:type="character" w:styleId="SubtleReference">
    <w:name w:val="Subtle Reference"/>
    <w:uiPriority w:val="31"/>
    <w:qFormat/>
    <w:rsid w:val="00F41A32"/>
    <w:rPr>
      <w:smallCaps/>
    </w:rPr>
  </w:style>
  <w:style w:type="character" w:styleId="IntenseReference">
    <w:name w:val="Intense Reference"/>
    <w:uiPriority w:val="32"/>
    <w:qFormat/>
    <w:rsid w:val="00F41A32"/>
    <w:rPr>
      <w:smallCaps/>
      <w:spacing w:val="5"/>
      <w:u w:val="single"/>
    </w:rPr>
  </w:style>
  <w:style w:type="character" w:styleId="BookTitle">
    <w:name w:val="Book Title"/>
    <w:uiPriority w:val="33"/>
    <w:qFormat/>
    <w:rsid w:val="00F41A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A3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24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6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1719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32"/>
  </w:style>
  <w:style w:type="paragraph" w:styleId="Heading1">
    <w:name w:val="heading 1"/>
    <w:basedOn w:val="Normal"/>
    <w:next w:val="Normal"/>
    <w:link w:val="Heading1Char"/>
    <w:uiPriority w:val="9"/>
    <w:qFormat/>
    <w:rsid w:val="00F41A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41A32"/>
    <w:pPr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A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A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A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A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A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A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A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A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1A32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1A32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41A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caps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1A32"/>
    <w:rPr>
      <w:rFonts w:asciiTheme="majorHAnsi" w:eastAsiaTheme="majorEastAsia" w:hAnsiTheme="majorHAnsi" w:cstheme="majorBidi"/>
      <w:caps/>
      <w:spacing w:val="5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A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A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A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A3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A3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A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A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A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41A32"/>
    <w:rPr>
      <w:b/>
      <w:bCs/>
    </w:rPr>
  </w:style>
  <w:style w:type="character" w:styleId="Emphasis">
    <w:name w:val="Emphasis"/>
    <w:uiPriority w:val="20"/>
    <w:qFormat/>
    <w:rsid w:val="00F41A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41A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1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1A3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1A3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A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A32"/>
    <w:rPr>
      <w:b/>
      <w:bCs/>
      <w:i/>
      <w:iCs/>
    </w:rPr>
  </w:style>
  <w:style w:type="character" w:styleId="SubtleEmphasis">
    <w:name w:val="Subtle Emphasis"/>
    <w:uiPriority w:val="19"/>
    <w:qFormat/>
    <w:rsid w:val="00F41A32"/>
    <w:rPr>
      <w:i/>
      <w:iCs/>
    </w:rPr>
  </w:style>
  <w:style w:type="character" w:styleId="IntenseEmphasis">
    <w:name w:val="Intense Emphasis"/>
    <w:uiPriority w:val="21"/>
    <w:qFormat/>
    <w:rsid w:val="00F41A32"/>
    <w:rPr>
      <w:b/>
      <w:bCs/>
    </w:rPr>
  </w:style>
  <w:style w:type="character" w:styleId="SubtleReference">
    <w:name w:val="Subtle Reference"/>
    <w:uiPriority w:val="31"/>
    <w:qFormat/>
    <w:rsid w:val="00F41A32"/>
    <w:rPr>
      <w:smallCaps/>
    </w:rPr>
  </w:style>
  <w:style w:type="character" w:styleId="IntenseReference">
    <w:name w:val="Intense Reference"/>
    <w:uiPriority w:val="32"/>
    <w:qFormat/>
    <w:rsid w:val="00F41A32"/>
    <w:rPr>
      <w:smallCaps/>
      <w:spacing w:val="5"/>
      <w:u w:val="single"/>
    </w:rPr>
  </w:style>
  <w:style w:type="character" w:styleId="BookTitle">
    <w:name w:val="Book Title"/>
    <w:uiPriority w:val="33"/>
    <w:qFormat/>
    <w:rsid w:val="00F41A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A3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24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6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1719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M:\Documents\School\MBA%20607AA%20-%20Financial%20Accounting\Project\Financ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M:\Documents\School\MBA%20607AA%20-%20Financial%20Accounting\Project\Financ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M:\Documents\School\MBA%20607AA%20-%20Financial%20Accounting\Project\Financ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M:\Documents\School\MBA%20607AA%20-%20Financial%20Accounting\Project\Financ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M:\Documents\School\MBA%20607AA%20-%20Financial%20Accounting\Project\Finance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M:\Documents\School\MBA%20607AA%20-%20Financial%20Accounting\Project\Finance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M:\Documents\School\MBA%20607AA%20-%20Financial%20Accounting\Project\Financ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635658914728682E-2"/>
          <c:y val="5.1400554097404488E-2"/>
          <c:w val="0.819725325032045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Profitability!$B$12</c:f>
              <c:strCache>
                <c:ptCount val="1"/>
                <c:pt idx="0">
                  <c:v>TELUS</c:v>
                </c:pt>
              </c:strCache>
            </c:strRef>
          </c:tx>
          <c:cat>
            <c:numRef>
              <c:f>Profitability!$C$11:$F$11</c:f>
              <c:numCache>
                <c:formatCode>General</c:formatCode>
                <c:ptCount val="4"/>
                <c:pt idx="0">
                  <c:v>2012</c:v>
                </c:pt>
                <c:pt idx="1">
                  <c:v>2011</c:v>
                </c:pt>
                <c:pt idx="2">
                  <c:v>2010</c:v>
                </c:pt>
                <c:pt idx="3">
                  <c:v>2009</c:v>
                </c:pt>
              </c:numCache>
            </c:numRef>
          </c:cat>
          <c:val>
            <c:numRef>
              <c:f>Profitability!$C$12:$F$12</c:f>
              <c:numCache>
                <c:formatCode>0.00</c:formatCode>
                <c:ptCount val="4"/>
                <c:pt idx="0">
                  <c:v>0.55233037267649487</c:v>
                </c:pt>
                <c:pt idx="1">
                  <c:v>0.54227602905569006</c:v>
                </c:pt>
                <c:pt idx="2">
                  <c:v>0.56518168753849307</c:v>
                </c:pt>
                <c:pt idx="3">
                  <c:v>0.65875494482615027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Profitability!$B$13</c:f>
              <c:strCache>
                <c:ptCount val="1"/>
                <c:pt idx="0">
                  <c:v>ROGERS</c:v>
                </c:pt>
              </c:strCache>
            </c:strRef>
          </c:tx>
          <c:cat>
            <c:numRef>
              <c:f>Profitability!$C$11:$F$11</c:f>
              <c:numCache>
                <c:formatCode>General</c:formatCode>
                <c:ptCount val="4"/>
                <c:pt idx="0">
                  <c:v>2012</c:v>
                </c:pt>
                <c:pt idx="1">
                  <c:v>2011</c:v>
                </c:pt>
                <c:pt idx="2">
                  <c:v>2010</c:v>
                </c:pt>
                <c:pt idx="3">
                  <c:v>2009</c:v>
                </c:pt>
              </c:numCache>
            </c:numRef>
          </c:cat>
          <c:val>
            <c:numRef>
              <c:f>Profitability!$C$13:$F$13</c:f>
              <c:numCache>
                <c:formatCode>0.00</c:formatCode>
                <c:ptCount val="4"/>
                <c:pt idx="0">
                  <c:v>0.38098670510972288</c:v>
                </c:pt>
                <c:pt idx="1">
                  <c:v>0.37866515470597767</c:v>
                </c:pt>
                <c:pt idx="2">
                  <c:v>0.37646186789655739</c:v>
                </c:pt>
                <c:pt idx="3">
                  <c:v>0.88236296990878871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536192"/>
        <c:axId val="118901568"/>
      </c:lineChart>
      <c:catAx>
        <c:axId val="134536192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18901568"/>
        <c:crosses val="autoZero"/>
        <c:auto val="1"/>
        <c:lblAlgn val="ctr"/>
        <c:lblOffset val="100"/>
        <c:noMultiLvlLbl val="0"/>
      </c:catAx>
      <c:valAx>
        <c:axId val="118901568"/>
        <c:scaling>
          <c:orientation val="minMax"/>
        </c:scaling>
        <c:delete val="0"/>
        <c:axPos val="r"/>
        <c:majorGridlines/>
        <c:numFmt formatCode="0.00" sourceLinked="1"/>
        <c:majorTickMark val="out"/>
        <c:minorTickMark val="none"/>
        <c:tickLblPos val="nextTo"/>
        <c:crossAx val="134536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3836904107916718E-2"/>
          <c:y val="0.71257910469524643"/>
          <c:w val="0.41877798608507272"/>
          <c:h val="0.153545494313210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Profitability!$B$18</c:f>
              <c:strCache>
                <c:ptCount val="1"/>
                <c:pt idx="0">
                  <c:v>TELUS</c:v>
                </c:pt>
              </c:strCache>
            </c:strRef>
          </c:tx>
          <c:cat>
            <c:numRef>
              <c:f>Profitability!$C$17:$F$17</c:f>
              <c:numCache>
                <c:formatCode>General</c:formatCode>
                <c:ptCount val="4"/>
                <c:pt idx="0">
                  <c:v>2012</c:v>
                </c:pt>
                <c:pt idx="1">
                  <c:v>2011</c:v>
                </c:pt>
                <c:pt idx="2">
                  <c:v>2010</c:v>
                </c:pt>
                <c:pt idx="3">
                  <c:v>2009</c:v>
                </c:pt>
              </c:numCache>
            </c:numRef>
          </c:cat>
          <c:val>
            <c:numRef>
              <c:f>Profitability!$C$18:$F$18</c:f>
              <c:numCache>
                <c:formatCode>0.00</c:formatCode>
                <c:ptCount val="4"/>
                <c:pt idx="0">
                  <c:v>0.19293105027012178</c:v>
                </c:pt>
                <c:pt idx="1">
                  <c:v>0.18928537078003271</c:v>
                </c:pt>
                <c:pt idx="2">
                  <c:v>0.19495506535947713</c:v>
                </c:pt>
                <c:pt idx="3">
                  <c:v>0.1738496772850302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Profitability!$B$19</c:f>
              <c:strCache>
                <c:ptCount val="1"/>
                <c:pt idx="0">
                  <c:v>ROGERS</c:v>
                </c:pt>
              </c:strCache>
            </c:strRef>
          </c:tx>
          <c:cat>
            <c:numRef>
              <c:f>Profitability!$C$17:$F$17</c:f>
              <c:numCache>
                <c:formatCode>General</c:formatCode>
                <c:ptCount val="4"/>
                <c:pt idx="0">
                  <c:v>2012</c:v>
                </c:pt>
                <c:pt idx="1">
                  <c:v>2011</c:v>
                </c:pt>
                <c:pt idx="2">
                  <c:v>2010</c:v>
                </c:pt>
                <c:pt idx="3">
                  <c:v>2009</c:v>
                </c:pt>
              </c:numCache>
            </c:numRef>
          </c:cat>
          <c:val>
            <c:numRef>
              <c:f>Profitability!$C$19:$F$19</c:f>
              <c:numCache>
                <c:formatCode>0.00</c:formatCode>
                <c:ptCount val="4"/>
                <c:pt idx="0">
                  <c:v>0.22152811148486304</c:v>
                </c:pt>
                <c:pt idx="1">
                  <c:v>0.22404017495545117</c:v>
                </c:pt>
                <c:pt idx="2">
                  <c:v>0.23011036073134575</c:v>
                </c:pt>
                <c:pt idx="3">
                  <c:v>0.21831045946637115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90240"/>
        <c:axId val="118899264"/>
      </c:lineChart>
      <c:catAx>
        <c:axId val="145290240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18899264"/>
        <c:crosses val="autoZero"/>
        <c:auto val="1"/>
        <c:lblAlgn val="ctr"/>
        <c:lblOffset val="100"/>
        <c:noMultiLvlLbl val="0"/>
      </c:catAx>
      <c:valAx>
        <c:axId val="118899264"/>
        <c:scaling>
          <c:orientation val="minMax"/>
          <c:max val="1"/>
        </c:scaling>
        <c:delete val="0"/>
        <c:axPos val="r"/>
        <c:majorGridlines/>
        <c:numFmt formatCode="0.00" sourceLinked="1"/>
        <c:majorTickMark val="out"/>
        <c:minorTickMark val="none"/>
        <c:tickLblPos val="nextTo"/>
        <c:crossAx val="145290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Profitability!$B$54</c:f>
              <c:strCache>
                <c:ptCount val="1"/>
                <c:pt idx="0">
                  <c:v>Cash from Operating Activities Telus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Profitability!$C$51:$F$51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Profitability!$C$54:$F$54</c:f>
              <c:numCache>
                <c:formatCode>_("$"* #,##0_);_("$"* \(#,##0\);_("$"* "-"??_);_(@_)</c:formatCode>
                <c:ptCount val="4"/>
                <c:pt idx="0">
                  <c:v>2904</c:v>
                </c:pt>
                <c:pt idx="1">
                  <c:v>2670</c:v>
                </c:pt>
                <c:pt idx="2">
                  <c:v>2550</c:v>
                </c:pt>
                <c:pt idx="3">
                  <c:v>3219</c:v>
                </c:pt>
              </c:numCache>
            </c:numRef>
          </c:val>
        </c:ser>
        <c:ser>
          <c:idx val="3"/>
          <c:order val="3"/>
          <c:tx>
            <c:strRef>
              <c:f>Profitability!$B$55</c:f>
              <c:strCache>
                <c:ptCount val="1"/>
                <c:pt idx="0">
                  <c:v>Cash from Operating Activities Rogers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numRef>
              <c:f>Profitability!$C$51:$F$51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Profitability!$C$55:$F$55</c:f>
              <c:numCache>
                <c:formatCode>_("$"* #,##0_);_("$"* \(#,##0\);_("$"* "-"??_);_(@_)</c:formatCode>
                <c:ptCount val="4"/>
                <c:pt idx="0">
                  <c:v>3790</c:v>
                </c:pt>
                <c:pt idx="1">
                  <c:v>3494</c:v>
                </c:pt>
                <c:pt idx="2">
                  <c:v>3791</c:v>
                </c:pt>
                <c:pt idx="3">
                  <c:v>3421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292288"/>
        <c:axId val="148759104"/>
      </c:barChart>
      <c:lineChart>
        <c:grouping val="standard"/>
        <c:varyColors val="0"/>
        <c:ser>
          <c:idx val="0"/>
          <c:order val="0"/>
          <c:tx>
            <c:strRef>
              <c:f>Profitability!$B$52</c:f>
              <c:strCache>
                <c:ptCount val="1"/>
                <c:pt idx="0">
                  <c:v>CRR Telus</c:v>
                </c:pt>
              </c:strCache>
            </c:strRef>
          </c:tx>
          <c:spPr>
            <a:ln>
              <a:solidFill>
                <a:schemeClr val="accent3">
                  <a:lumMod val="40000"/>
                  <a:lumOff val="60000"/>
                </a:schemeClr>
              </a:solidFill>
            </a:ln>
          </c:spPr>
          <c:marker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marker>
          <c:cat>
            <c:numRef>
              <c:f>Profitability!$C$51:$F$51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Profitability!$C$52:$F$52</c:f>
              <c:numCache>
                <c:formatCode>0.0</c:formatCode>
                <c:ptCount val="4"/>
                <c:pt idx="0">
                  <c:v>2.9098196392785569</c:v>
                </c:pt>
                <c:pt idx="1">
                  <c:v>2.5477099236641223</c:v>
                </c:pt>
                <c:pt idx="2">
                  <c:v>2.0918785890073832</c:v>
                </c:pt>
                <c:pt idx="3">
                  <c:v>2.4423368740515934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Profitability!$B$53</c:f>
              <c:strCache>
                <c:ptCount val="1"/>
                <c:pt idx="0">
                  <c:v>CRR Rogers</c:v>
                </c:pt>
              </c:strCache>
            </c:strRef>
          </c:tx>
          <c:marker>
            <c:spPr>
              <a:solidFill>
                <a:schemeClr val="accent2">
                  <a:lumMod val="60000"/>
                  <a:lumOff val="40000"/>
                </a:schemeClr>
              </a:solidFill>
            </c:spPr>
          </c:marker>
          <c:cat>
            <c:numRef>
              <c:f>Profitability!$C$51:$F$51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Profitability!$C$53:$F$53</c:f>
              <c:numCache>
                <c:formatCode>0.0</c:formatCode>
                <c:ptCount val="4"/>
                <c:pt idx="0">
                  <c:v>2.5642760487144791</c:v>
                </c:pt>
                <c:pt idx="1">
                  <c:v>2.3262316910785619</c:v>
                </c:pt>
                <c:pt idx="2">
                  <c:v>2.4254638515674984</c:v>
                </c:pt>
                <c:pt idx="3">
                  <c:v>2.0123529411764705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71264"/>
        <c:axId val="148759680"/>
      </c:lineChart>
      <c:catAx>
        <c:axId val="145292288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48759104"/>
        <c:crosses val="autoZero"/>
        <c:auto val="1"/>
        <c:lblAlgn val="ctr"/>
        <c:lblOffset val="100"/>
        <c:noMultiLvlLbl val="0"/>
      </c:catAx>
      <c:valAx>
        <c:axId val="148759104"/>
        <c:scaling>
          <c:orientation val="minMax"/>
        </c:scaling>
        <c:delete val="0"/>
        <c:axPos val="r"/>
        <c:majorGridlines/>
        <c:numFmt formatCode="_(&quot;$&quot;* #,##0_);_(&quot;$&quot;* \(#,##0\);_(&quot;$&quot;* &quot;-&quot;??_);_(@_)" sourceLinked="1"/>
        <c:majorTickMark val="out"/>
        <c:minorTickMark val="none"/>
        <c:tickLblPos val="nextTo"/>
        <c:crossAx val="145292288"/>
        <c:crosses val="autoZero"/>
        <c:crossBetween val="between"/>
      </c:valAx>
      <c:valAx>
        <c:axId val="148759680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133771264"/>
        <c:crosses val="max"/>
        <c:crossBetween val="between"/>
      </c:valAx>
      <c:catAx>
        <c:axId val="133771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759680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Profitability!$B$6</c:f>
              <c:strCache>
                <c:ptCount val="1"/>
                <c:pt idx="0">
                  <c:v>EPS TELUS</c:v>
                </c:pt>
              </c:strCache>
            </c:strRef>
          </c:tx>
          <c:cat>
            <c:numRef>
              <c:f>Profitability!$C$5:$F$5</c:f>
              <c:numCache>
                <c:formatCode>General</c:formatCode>
                <c:ptCount val="4"/>
                <c:pt idx="0">
                  <c:v>2012</c:v>
                </c:pt>
                <c:pt idx="1">
                  <c:v>2011</c:v>
                </c:pt>
                <c:pt idx="2">
                  <c:v>2010</c:v>
                </c:pt>
                <c:pt idx="3">
                  <c:v>2009</c:v>
                </c:pt>
              </c:numCache>
            </c:numRef>
          </c:cat>
          <c:val>
            <c:numRef>
              <c:f>Profitability!$C$6:$F$6</c:f>
              <c:numCache>
                <c:formatCode>General</c:formatCode>
                <c:ptCount val="4"/>
                <c:pt idx="0">
                  <c:v>2.02</c:v>
                </c:pt>
                <c:pt idx="1">
                  <c:v>1.87</c:v>
                </c:pt>
                <c:pt idx="2">
                  <c:v>1.63</c:v>
                </c:pt>
                <c:pt idx="3">
                  <c:v>1.57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Profitability!$B$7</c:f>
              <c:strCache>
                <c:ptCount val="1"/>
                <c:pt idx="0">
                  <c:v>EPS ROGERS</c:v>
                </c:pt>
              </c:strCache>
            </c:strRef>
          </c:tx>
          <c:cat>
            <c:numRef>
              <c:f>Profitability!$C$5:$F$5</c:f>
              <c:numCache>
                <c:formatCode>General</c:formatCode>
                <c:ptCount val="4"/>
                <c:pt idx="0">
                  <c:v>2012</c:v>
                </c:pt>
                <c:pt idx="1">
                  <c:v>2011</c:v>
                </c:pt>
                <c:pt idx="2">
                  <c:v>2010</c:v>
                </c:pt>
                <c:pt idx="3">
                  <c:v>2009</c:v>
                </c:pt>
              </c:numCache>
            </c:numRef>
          </c:cat>
          <c:val>
            <c:numRef>
              <c:f>Profitability!$C$7:$F$7</c:f>
              <c:numCache>
                <c:formatCode>General</c:formatCode>
                <c:ptCount val="4"/>
                <c:pt idx="0">
                  <c:v>3.32</c:v>
                </c:pt>
                <c:pt idx="1">
                  <c:v>2.91</c:v>
                </c:pt>
                <c:pt idx="2">
                  <c:v>2.59</c:v>
                </c:pt>
                <c:pt idx="3">
                  <c:v>2.38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71776"/>
        <c:axId val="148762560"/>
      </c:lineChart>
      <c:catAx>
        <c:axId val="133771776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48762560"/>
        <c:crosses val="autoZero"/>
        <c:auto val="1"/>
        <c:lblAlgn val="ctr"/>
        <c:lblOffset val="100"/>
        <c:noMultiLvlLbl val="0"/>
      </c:catAx>
      <c:valAx>
        <c:axId val="148762560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377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Telus</c:v>
          </c:tx>
          <c:marker>
            <c:symbol val="none"/>
          </c:marker>
          <c:cat>
            <c:strRef>
              <c:f>Dividends!$B$3:$B$29</c:f>
              <c:strCache>
                <c:ptCount val="27"/>
                <c:pt idx="0">
                  <c:v>Q3-13</c:v>
                </c:pt>
                <c:pt idx="1">
                  <c:v>Q2-13</c:v>
                </c:pt>
                <c:pt idx="2">
                  <c:v>Q1-13</c:v>
                </c:pt>
                <c:pt idx="3">
                  <c:v>Q4-12</c:v>
                </c:pt>
                <c:pt idx="4">
                  <c:v>Q3-12</c:v>
                </c:pt>
                <c:pt idx="5">
                  <c:v>Q2-12</c:v>
                </c:pt>
                <c:pt idx="6">
                  <c:v>Q1-12</c:v>
                </c:pt>
                <c:pt idx="7">
                  <c:v>Q4-11</c:v>
                </c:pt>
                <c:pt idx="8">
                  <c:v>Q3-11</c:v>
                </c:pt>
                <c:pt idx="9">
                  <c:v>Q2-11</c:v>
                </c:pt>
                <c:pt idx="10">
                  <c:v>Q1-11</c:v>
                </c:pt>
                <c:pt idx="11">
                  <c:v>Q4-10</c:v>
                </c:pt>
                <c:pt idx="12">
                  <c:v>Q3-10</c:v>
                </c:pt>
                <c:pt idx="13">
                  <c:v>Q2-10</c:v>
                </c:pt>
                <c:pt idx="14">
                  <c:v>Q1-10</c:v>
                </c:pt>
                <c:pt idx="15">
                  <c:v>Q4-09</c:v>
                </c:pt>
                <c:pt idx="16">
                  <c:v>Q3-09</c:v>
                </c:pt>
                <c:pt idx="17">
                  <c:v>Q2-09</c:v>
                </c:pt>
                <c:pt idx="18">
                  <c:v>Q1-09</c:v>
                </c:pt>
                <c:pt idx="19">
                  <c:v>Q4-08</c:v>
                </c:pt>
                <c:pt idx="20">
                  <c:v>Q3-08</c:v>
                </c:pt>
                <c:pt idx="21">
                  <c:v>Q2-08</c:v>
                </c:pt>
                <c:pt idx="22">
                  <c:v>Q1-08</c:v>
                </c:pt>
                <c:pt idx="23">
                  <c:v>Q4-07</c:v>
                </c:pt>
                <c:pt idx="24">
                  <c:v>Q3-07</c:v>
                </c:pt>
                <c:pt idx="25">
                  <c:v>Q2-07</c:v>
                </c:pt>
                <c:pt idx="26">
                  <c:v>Q1-07</c:v>
                </c:pt>
              </c:strCache>
            </c:strRef>
          </c:cat>
          <c:val>
            <c:numRef>
              <c:f>Dividends!$D$3:$D$29</c:f>
              <c:numCache>
                <c:formatCode>"$"#,##0.00_);[Red]\("$"#,##0.00\)</c:formatCode>
                <c:ptCount val="27"/>
                <c:pt idx="0">
                  <c:v>0.68</c:v>
                </c:pt>
                <c:pt idx="1">
                  <c:v>0.68</c:v>
                </c:pt>
                <c:pt idx="2">
                  <c:v>0.64</c:v>
                </c:pt>
                <c:pt idx="3">
                  <c:v>0.64</c:v>
                </c:pt>
                <c:pt idx="4">
                  <c:v>0.61</c:v>
                </c:pt>
                <c:pt idx="5">
                  <c:v>0.61</c:v>
                </c:pt>
                <c:pt idx="6">
                  <c:v>0.57999999999999996</c:v>
                </c:pt>
                <c:pt idx="7">
                  <c:v>0.57999999999999996</c:v>
                </c:pt>
                <c:pt idx="8">
                  <c:v>0.55000000000000004</c:v>
                </c:pt>
                <c:pt idx="9">
                  <c:v>0.55000000000000004</c:v>
                </c:pt>
                <c:pt idx="10">
                  <c:v>0.52500000000000002</c:v>
                </c:pt>
                <c:pt idx="11">
                  <c:v>0.52500000000000002</c:v>
                </c:pt>
                <c:pt idx="12">
                  <c:v>0.5</c:v>
                </c:pt>
                <c:pt idx="13">
                  <c:v>0.5</c:v>
                </c:pt>
                <c:pt idx="14">
                  <c:v>0.47499999999999998</c:v>
                </c:pt>
                <c:pt idx="15">
                  <c:v>0.47499999999999998</c:v>
                </c:pt>
                <c:pt idx="16">
                  <c:v>0.47499999999999998</c:v>
                </c:pt>
                <c:pt idx="17">
                  <c:v>0.47499999999999998</c:v>
                </c:pt>
                <c:pt idx="18">
                  <c:v>0.47499999999999998</c:v>
                </c:pt>
                <c:pt idx="19">
                  <c:v>0.47499999999999998</c:v>
                </c:pt>
                <c:pt idx="20">
                  <c:v>0.45</c:v>
                </c:pt>
                <c:pt idx="21">
                  <c:v>0.45</c:v>
                </c:pt>
                <c:pt idx="22">
                  <c:v>0.45</c:v>
                </c:pt>
                <c:pt idx="23">
                  <c:v>0.45</c:v>
                </c:pt>
                <c:pt idx="24">
                  <c:v>0.375</c:v>
                </c:pt>
                <c:pt idx="25">
                  <c:v>0.375</c:v>
                </c:pt>
                <c:pt idx="26">
                  <c:v>0.375</c:v>
                </c:pt>
              </c:numCache>
            </c:numRef>
          </c:val>
          <c:smooth val="0"/>
        </c:ser>
        <c:ser>
          <c:idx val="1"/>
          <c:order val="1"/>
          <c:tx>
            <c:v>Rogers</c:v>
          </c:tx>
          <c:marker>
            <c:symbol val="none"/>
          </c:marker>
          <c:cat>
            <c:strRef>
              <c:f>Dividends!$B$3:$B$29</c:f>
              <c:strCache>
                <c:ptCount val="27"/>
                <c:pt idx="0">
                  <c:v>Q3-13</c:v>
                </c:pt>
                <c:pt idx="1">
                  <c:v>Q2-13</c:v>
                </c:pt>
                <c:pt idx="2">
                  <c:v>Q1-13</c:v>
                </c:pt>
                <c:pt idx="3">
                  <c:v>Q4-12</c:v>
                </c:pt>
                <c:pt idx="4">
                  <c:v>Q3-12</c:v>
                </c:pt>
                <c:pt idx="5">
                  <c:v>Q2-12</c:v>
                </c:pt>
                <c:pt idx="6">
                  <c:v>Q1-12</c:v>
                </c:pt>
                <c:pt idx="7">
                  <c:v>Q4-11</c:v>
                </c:pt>
                <c:pt idx="8">
                  <c:v>Q3-11</c:v>
                </c:pt>
                <c:pt idx="9">
                  <c:v>Q2-11</c:v>
                </c:pt>
                <c:pt idx="10">
                  <c:v>Q1-11</c:v>
                </c:pt>
                <c:pt idx="11">
                  <c:v>Q4-10</c:v>
                </c:pt>
                <c:pt idx="12">
                  <c:v>Q3-10</c:v>
                </c:pt>
                <c:pt idx="13">
                  <c:v>Q2-10</c:v>
                </c:pt>
                <c:pt idx="14">
                  <c:v>Q1-10</c:v>
                </c:pt>
                <c:pt idx="15">
                  <c:v>Q4-09</c:v>
                </c:pt>
                <c:pt idx="16">
                  <c:v>Q3-09</c:v>
                </c:pt>
                <c:pt idx="17">
                  <c:v>Q2-09</c:v>
                </c:pt>
                <c:pt idx="18">
                  <c:v>Q1-09</c:v>
                </c:pt>
                <c:pt idx="19">
                  <c:v>Q4-08</c:v>
                </c:pt>
                <c:pt idx="20">
                  <c:v>Q3-08</c:v>
                </c:pt>
                <c:pt idx="21">
                  <c:v>Q2-08</c:v>
                </c:pt>
                <c:pt idx="22">
                  <c:v>Q1-08</c:v>
                </c:pt>
                <c:pt idx="23">
                  <c:v>Q4-07</c:v>
                </c:pt>
                <c:pt idx="24">
                  <c:v>Q3-07</c:v>
                </c:pt>
                <c:pt idx="25">
                  <c:v>Q2-07</c:v>
                </c:pt>
                <c:pt idx="26">
                  <c:v>Q1-07</c:v>
                </c:pt>
              </c:strCache>
            </c:strRef>
          </c:cat>
          <c:val>
            <c:numRef>
              <c:f>Dividends!$J$3:$J$29</c:f>
              <c:numCache>
                <c:formatCode>"$"#,##0.00_);[Red]\("$"#,##0.00\)</c:formatCode>
                <c:ptCount val="27"/>
                <c:pt idx="0">
                  <c:v>0.435</c:v>
                </c:pt>
                <c:pt idx="1">
                  <c:v>0.435</c:v>
                </c:pt>
                <c:pt idx="2">
                  <c:v>0.435</c:v>
                </c:pt>
                <c:pt idx="3">
                  <c:v>0.39500000000000002</c:v>
                </c:pt>
                <c:pt idx="4">
                  <c:v>0.39500000000000002</c:v>
                </c:pt>
                <c:pt idx="5">
                  <c:v>0.39500000000000002</c:v>
                </c:pt>
                <c:pt idx="6">
                  <c:v>0.39500000000000002</c:v>
                </c:pt>
                <c:pt idx="7">
                  <c:v>0.35499999999999998</c:v>
                </c:pt>
                <c:pt idx="8">
                  <c:v>0.35499999999999998</c:v>
                </c:pt>
                <c:pt idx="9">
                  <c:v>0.35499999999999998</c:v>
                </c:pt>
                <c:pt idx="10">
                  <c:v>0.35499999999999998</c:v>
                </c:pt>
                <c:pt idx="11">
                  <c:v>0.32</c:v>
                </c:pt>
                <c:pt idx="12">
                  <c:v>0.32</c:v>
                </c:pt>
                <c:pt idx="13">
                  <c:v>0.32</c:v>
                </c:pt>
                <c:pt idx="14">
                  <c:v>0.32</c:v>
                </c:pt>
                <c:pt idx="15">
                  <c:v>0.28999999999999998</c:v>
                </c:pt>
                <c:pt idx="16">
                  <c:v>0.28999999999999998</c:v>
                </c:pt>
                <c:pt idx="17">
                  <c:v>0.28999999999999998</c:v>
                </c:pt>
                <c:pt idx="18">
                  <c:v>0.28999999999999998</c:v>
                </c:pt>
                <c:pt idx="19">
                  <c:v>0.25</c:v>
                </c:pt>
                <c:pt idx="20">
                  <c:v>0.25</c:v>
                </c:pt>
                <c:pt idx="21">
                  <c:v>0.25</c:v>
                </c:pt>
                <c:pt idx="22">
                  <c:v>0.25</c:v>
                </c:pt>
                <c:pt idx="23">
                  <c:v>0.125</c:v>
                </c:pt>
                <c:pt idx="24">
                  <c:v>0.125</c:v>
                </c:pt>
                <c:pt idx="25">
                  <c:v>0.125</c:v>
                </c:pt>
                <c:pt idx="26">
                  <c:v>0.04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72288"/>
        <c:axId val="148764288"/>
      </c:lineChart>
      <c:catAx>
        <c:axId val="133772288"/>
        <c:scaling>
          <c:orientation val="maxMin"/>
        </c:scaling>
        <c:delete val="0"/>
        <c:axPos val="b"/>
        <c:majorTickMark val="out"/>
        <c:minorTickMark val="none"/>
        <c:tickLblPos val="nextTo"/>
        <c:crossAx val="148764288"/>
        <c:crosses val="autoZero"/>
        <c:auto val="1"/>
        <c:lblAlgn val="ctr"/>
        <c:lblOffset val="100"/>
        <c:noMultiLvlLbl val="0"/>
      </c:catAx>
      <c:valAx>
        <c:axId val="148764288"/>
        <c:scaling>
          <c:orientation val="minMax"/>
        </c:scaling>
        <c:delete val="0"/>
        <c:axPos val="r"/>
        <c:majorGridlines/>
        <c:numFmt formatCode="&quot;$&quot;#,##0.00_);[Red]\(&quot;$&quot;#,##0.00\)" sourceLinked="1"/>
        <c:majorTickMark val="out"/>
        <c:minorTickMark val="none"/>
        <c:tickLblPos val="nextTo"/>
        <c:crossAx val="133772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93285214348207"/>
          <c:y val="2.8252405949256341E-2"/>
          <c:w val="0.88916535433070865"/>
          <c:h val="0.878915864683581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Dividends!$K$32</c:f>
              <c:strCache>
                <c:ptCount val="1"/>
                <c:pt idx="0">
                  <c:v>Telus</c:v>
                </c:pt>
              </c:strCache>
            </c:strRef>
          </c:tx>
          <c:invertIfNegative val="0"/>
          <c:cat>
            <c:numRef>
              <c:f>Dividends!$J$33:$J$38</c:f>
              <c:numCache>
                <c:formatCode>0</c:formatCode>
                <c:ptCount val="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</c:numCache>
            </c:numRef>
          </c:cat>
          <c:val>
            <c:numRef>
              <c:f>Dividends!$K$33:$K$38</c:f>
              <c:numCache>
                <c:formatCode>0%</c:formatCode>
                <c:ptCount val="6"/>
                <c:pt idx="0">
                  <c:v>0.20000000000000004</c:v>
                </c:pt>
                <c:pt idx="1">
                  <c:v>5.5555555555555483E-2</c:v>
                </c:pt>
                <c:pt idx="2">
                  <c:v>0</c:v>
                </c:pt>
                <c:pt idx="3">
                  <c:v>0.10526315789473695</c:v>
                </c:pt>
                <c:pt idx="4">
                  <c:v>0.10476190476190464</c:v>
                </c:pt>
                <c:pt idx="5">
                  <c:v>0.10344827586206906</c:v>
                </c:pt>
              </c:numCache>
            </c:numRef>
          </c:val>
        </c:ser>
        <c:ser>
          <c:idx val="1"/>
          <c:order val="1"/>
          <c:tx>
            <c:strRef>
              <c:f>Dividends!$L$32</c:f>
              <c:strCache>
                <c:ptCount val="1"/>
                <c:pt idx="0">
                  <c:v>Rogers</c:v>
                </c:pt>
              </c:strCache>
            </c:strRef>
          </c:tx>
          <c:invertIfNegative val="0"/>
          <c:cat>
            <c:numRef>
              <c:f>Dividends!$J$33:$J$38</c:f>
              <c:numCache>
                <c:formatCode>0</c:formatCode>
                <c:ptCount val="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</c:numCache>
            </c:numRef>
          </c:cat>
          <c:val>
            <c:numRef>
              <c:f>Dividends!$L$33:$L$38</c:f>
              <c:numCache>
                <c:formatCode>0%</c:formatCode>
                <c:ptCount val="6"/>
                <c:pt idx="0">
                  <c:v>2.1249999999999996</c:v>
                </c:pt>
                <c:pt idx="1">
                  <c:v>1</c:v>
                </c:pt>
                <c:pt idx="2">
                  <c:v>0.15999999999999992</c:v>
                </c:pt>
                <c:pt idx="3">
                  <c:v>0.10344827586206906</c:v>
                </c:pt>
                <c:pt idx="4">
                  <c:v>0.10937499999999992</c:v>
                </c:pt>
                <c:pt idx="5">
                  <c:v>0.11267605633802827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029376"/>
        <c:axId val="148766016"/>
      </c:barChart>
      <c:catAx>
        <c:axId val="14902937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148766016"/>
        <c:crosses val="autoZero"/>
        <c:auto val="1"/>
        <c:lblAlgn val="ctr"/>
        <c:lblOffset val="100"/>
        <c:noMultiLvlLbl val="0"/>
      </c:catAx>
      <c:valAx>
        <c:axId val="148766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902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050226676210926"/>
          <c:y val="5.7764246135899679E-2"/>
          <c:w val="0.2809118746520321"/>
          <c:h val="0.297804841061533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v>Payout TELUS</c:v>
          </c:tx>
          <c:spPr>
            <a:solidFill>
              <a:schemeClr val="accent3">
                <a:lumMod val="75000"/>
              </a:schemeClr>
            </a:solidFill>
          </c:spPr>
          <c:invertIfNegative val="0"/>
          <c:val>
            <c:numRef>
              <c:f>Dividends!$C$80:$F$80</c:f>
              <c:numCache>
                <c:formatCode>0%</c:formatCode>
                <c:ptCount val="4"/>
                <c:pt idx="0">
                  <c:v>0.60537177541729892</c:v>
                </c:pt>
                <c:pt idx="1">
                  <c:v>0.58835110746513541</c:v>
                </c:pt>
                <c:pt idx="2">
                  <c:v>0.61259541984732824</c:v>
                </c:pt>
                <c:pt idx="3">
                  <c:v>0.60541082164328652</c:v>
                </c:pt>
              </c:numCache>
            </c:numRef>
          </c:val>
        </c:ser>
        <c:ser>
          <c:idx val="3"/>
          <c:order val="3"/>
          <c:tx>
            <c:v>Payour Rogers</c:v>
          </c:tx>
          <c:spPr>
            <a:solidFill>
              <a:schemeClr val="accent2">
                <a:lumMod val="75000"/>
              </a:schemeClr>
            </a:solidFill>
          </c:spPr>
          <c:invertIfNegative val="0"/>
          <c:val>
            <c:numRef>
              <c:f>Dividends!$C$81:$F$81</c:f>
              <c:numCache>
                <c:formatCode>0%</c:formatCode>
                <c:ptCount val="4"/>
                <c:pt idx="0">
                  <c:v>0.48515294117647056</c:v>
                </c:pt>
                <c:pt idx="1">
                  <c:v>0.49695457453614844</c:v>
                </c:pt>
                <c:pt idx="2">
                  <c:v>0.49427430093209052</c:v>
                </c:pt>
                <c:pt idx="3">
                  <c:v>0.48738836265223268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030912"/>
        <c:axId val="133555904"/>
      </c:barChart>
      <c:lineChart>
        <c:grouping val="standard"/>
        <c:varyColors val="0"/>
        <c:ser>
          <c:idx val="0"/>
          <c:order val="0"/>
          <c:tx>
            <c:v>NI TELUS</c:v>
          </c:tx>
          <c:spPr>
            <a:ln>
              <a:solidFill>
                <a:schemeClr val="accent3">
                  <a:lumMod val="40000"/>
                  <a:lumOff val="60000"/>
                </a:schemeClr>
              </a:solidFill>
            </a:ln>
          </c:spPr>
          <c:marker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marker>
          <c:cat>
            <c:numRef>
              <c:f>Dividends!$C$83:$F$83</c:f>
              <c:numCache>
                <c:formatCode>General</c:formatCode>
                <c:ptCount val="4"/>
                <c:pt idx="0">
                  <c:v>2012</c:v>
                </c:pt>
                <c:pt idx="1">
                  <c:v>2011</c:v>
                </c:pt>
                <c:pt idx="2">
                  <c:v>2010</c:v>
                </c:pt>
                <c:pt idx="3">
                  <c:v>2009</c:v>
                </c:pt>
              </c:numCache>
            </c:numRef>
          </c:cat>
          <c:val>
            <c:numRef>
              <c:f>Dividends!$C$84:$F$84</c:f>
              <c:numCache>
                <c:formatCode>#,##0</c:formatCode>
                <c:ptCount val="4"/>
                <c:pt idx="0">
                  <c:v>1318</c:v>
                </c:pt>
                <c:pt idx="1">
                  <c:v>1219</c:v>
                </c:pt>
                <c:pt idx="2">
                  <c:v>1048</c:v>
                </c:pt>
                <c:pt idx="3">
                  <c:v>998</c:v>
                </c:pt>
              </c:numCache>
            </c:numRef>
          </c:val>
          <c:smooth val="0"/>
        </c:ser>
        <c:ser>
          <c:idx val="1"/>
          <c:order val="1"/>
          <c:tx>
            <c:v>NI Rogers</c:v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marker>
          <c:cat>
            <c:numRef>
              <c:f>Dividends!$C$83:$F$83</c:f>
              <c:numCache>
                <c:formatCode>General</c:formatCode>
                <c:ptCount val="4"/>
                <c:pt idx="0">
                  <c:v>2012</c:v>
                </c:pt>
                <c:pt idx="1">
                  <c:v>2011</c:v>
                </c:pt>
                <c:pt idx="2">
                  <c:v>2010</c:v>
                </c:pt>
                <c:pt idx="3">
                  <c:v>2009</c:v>
                </c:pt>
              </c:numCache>
            </c:numRef>
          </c:cat>
          <c:val>
            <c:numRef>
              <c:f>Dividends!$C$85:$F$85</c:f>
              <c:numCache>
                <c:formatCode>#,##0</c:formatCode>
                <c:ptCount val="4"/>
                <c:pt idx="0">
                  <c:v>1700</c:v>
                </c:pt>
                <c:pt idx="1">
                  <c:v>1563</c:v>
                </c:pt>
                <c:pt idx="2">
                  <c:v>1502</c:v>
                </c:pt>
                <c:pt idx="3">
                  <c:v>1478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72800"/>
        <c:axId val="133555328"/>
      </c:lineChart>
      <c:catAx>
        <c:axId val="133772800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33555328"/>
        <c:crosses val="autoZero"/>
        <c:auto val="1"/>
        <c:lblAlgn val="ctr"/>
        <c:lblOffset val="100"/>
        <c:noMultiLvlLbl val="0"/>
      </c:catAx>
      <c:valAx>
        <c:axId val="133555328"/>
        <c:scaling>
          <c:orientation val="minMax"/>
        </c:scaling>
        <c:delete val="0"/>
        <c:axPos val="r"/>
        <c:majorGridlines/>
        <c:numFmt formatCode="#,##0" sourceLinked="1"/>
        <c:majorTickMark val="out"/>
        <c:minorTickMark val="none"/>
        <c:tickLblPos val="nextTo"/>
        <c:crossAx val="133772800"/>
        <c:crosses val="autoZero"/>
        <c:crossBetween val="between"/>
      </c:valAx>
      <c:valAx>
        <c:axId val="133555904"/>
        <c:scaling>
          <c:orientation val="minMax"/>
          <c:max val="1"/>
          <c:min val="0"/>
        </c:scaling>
        <c:delete val="0"/>
        <c:axPos val="l"/>
        <c:numFmt formatCode="0%" sourceLinked="1"/>
        <c:majorTickMark val="out"/>
        <c:minorTickMark val="none"/>
        <c:tickLblPos val="nextTo"/>
        <c:crossAx val="149030912"/>
        <c:crosses val="autoZero"/>
        <c:crossBetween val="between"/>
      </c:valAx>
      <c:catAx>
        <c:axId val="149030912"/>
        <c:scaling>
          <c:orientation val="minMax"/>
        </c:scaling>
        <c:delete val="1"/>
        <c:axPos val="b"/>
        <c:majorTickMark val="out"/>
        <c:minorTickMark val="none"/>
        <c:tickLblPos val="nextTo"/>
        <c:crossAx val="133555904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FA45-4E25-424B-B94C-F0097077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13</cp:revision>
  <dcterms:created xsi:type="dcterms:W3CDTF">2013-10-14T14:19:00Z</dcterms:created>
  <dcterms:modified xsi:type="dcterms:W3CDTF">2013-11-09T23:36:00Z</dcterms:modified>
</cp:coreProperties>
</file>